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w:t>
      </w:r>
      <w:r w:rsidR="001305A1">
        <w:t xml:space="preserve"> </w:t>
      </w:r>
      <w:r>
        <w:t>March 16</w:t>
      </w:r>
      <w:r w:rsidRPr="00686617">
        <w:rPr>
          <w:vertAlign w:val="superscript"/>
        </w:rPr>
        <w:t>th</w:t>
      </w:r>
      <w:r>
        <w:t>, 20</w:t>
      </w:r>
      <w:r w:rsidR="007D6D29">
        <w:t>2</w:t>
      </w:r>
      <w:r>
        <w:t>3</w:t>
      </w:r>
    </w:p>
    <w:p w:rsidR="00B62597" w:rsidRPr="00B62597" w:rsidP="00755096">
      <w:pPr>
        <w:pStyle w:val="MeetingDetails"/>
        <w:rPr>
          <w:sz w:val="28"/>
          <w:u w:val="single"/>
        </w:rPr>
      </w:pPr>
      <w:r>
        <w:t>1</w:t>
      </w:r>
      <w:r w:rsidR="006B7B57">
        <w:t>:0</w:t>
      </w:r>
      <w:r w:rsidR="005B510B">
        <w:t>0</w:t>
      </w:r>
      <w:r w:rsidR="001305A1">
        <w:t xml:space="preserve"> </w:t>
      </w:r>
      <w:r>
        <w:t>p</w:t>
      </w:r>
      <w:r w:rsidR="00893F62">
        <w:t>.m</w:t>
      </w:r>
      <w:r>
        <w:t>.</w:t>
      </w:r>
      <w:r w:rsidR="00893F62">
        <w:t xml:space="preserve"> – </w:t>
      </w:r>
      <w:r>
        <w:t>4</w:t>
      </w:r>
      <w:r w:rsidR="00AD1E92">
        <w:t>:0</w:t>
      </w:r>
      <w:r w:rsidR="005B510B">
        <w:t xml:space="preserve">0 </w:t>
      </w:r>
      <w:r>
        <w:t>p</w:t>
      </w:r>
      <w:r w:rsidR="005B510B">
        <w:t>.m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55153D" w:rsidRPr="00686617" w:rsidP="00686617">
      <w:pPr>
        <w:pStyle w:val="PrimaryHeading"/>
      </w:pPr>
      <w:r>
        <w:t>RTEP Updates</w:t>
      </w:r>
    </w:p>
    <w:p w:rsidR="0055153D" w:rsidRPr="00626A6D" w:rsidP="00626A6D">
      <w:pPr>
        <w:pStyle w:val="ListSubhead1"/>
        <w:spacing w:after="0"/>
        <w:rPr>
          <w:b w:val="0"/>
        </w:rPr>
      </w:pPr>
      <w:r>
        <w:t>Dominion Supplemental Projects</w:t>
      </w:r>
    </w:p>
    <w:p w:rsidR="00626A6D" w:rsidP="00626A6D">
      <w:pPr>
        <w:pStyle w:val="ListSubhead1"/>
        <w:numPr>
          <w:ilvl w:val="0"/>
          <w:numId w:val="0"/>
        </w:numPr>
        <w:spacing w:after="0"/>
        <w:ind w:left="360"/>
        <w:rPr>
          <w:b w:val="0"/>
        </w:rPr>
      </w:pPr>
      <w:r>
        <w:rPr>
          <w:b w:val="0"/>
        </w:rPr>
        <w:t>Dominion will present 1 potential solution</w:t>
      </w:r>
    </w:p>
    <w:p w:rsidR="00626A6D" w:rsidRPr="00626A6D" w:rsidP="00626A6D">
      <w:pPr>
        <w:pStyle w:val="ListSubhead1"/>
        <w:numPr>
          <w:ilvl w:val="0"/>
          <w:numId w:val="0"/>
        </w:numPr>
        <w:spacing w:after="0"/>
        <w:ind w:left="360"/>
        <w:rPr>
          <w:b w:val="0"/>
        </w:rPr>
      </w:pP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1876" w:type="dxa"/>
            <w:noWrap/>
            <w:hideMark/>
          </w:tcPr>
          <w:p w:rsidR="00396064" w:rsidRPr="005B1CF4" w:rsidP="00686617">
            <w:pPr>
              <w:jc w:val="center"/>
              <w:rPr>
                <w:rFonts w:ascii="Arial Narrow" w:hAnsi="Arial Narrow" w:cs="Calibri"/>
                <w:color w:val="000000"/>
                <w:sz w:val="18"/>
                <w:szCs w:val="18"/>
              </w:rPr>
            </w:pPr>
            <w:r>
              <w:rPr>
                <w:rFonts w:ascii="Arial Narrow" w:hAnsi="Arial Narrow" w:cs="Calibri"/>
                <w:color w:val="000000"/>
                <w:sz w:val="18"/>
                <w:szCs w:val="18"/>
              </w:rPr>
              <w:t>April 20</w:t>
            </w:r>
            <w:r w:rsidRPr="00686617">
              <w:rPr>
                <w:rFonts w:ascii="Arial Narrow" w:hAnsi="Arial Narrow" w:cs="Calibri"/>
                <w:color w:val="000000"/>
                <w:sz w:val="18"/>
                <w:szCs w:val="18"/>
                <w:vertAlign w:val="superscript"/>
              </w:rPr>
              <w:t>th</w:t>
            </w:r>
            <w:r w:rsidR="0055153D">
              <w:rPr>
                <w:rFonts w:ascii="Arial Narrow" w:hAnsi="Arial Narrow" w:cs="Calibri"/>
                <w:color w:val="000000"/>
                <w:sz w:val="18"/>
                <w:szCs w:val="18"/>
              </w:rPr>
              <w:t>, 2023</w:t>
            </w:r>
          </w:p>
        </w:tc>
        <w:tc>
          <w:tcPr>
            <w:tcW w:w="4352" w:type="dxa"/>
            <w:hideMark/>
          </w:tcPr>
          <w:p w:rsidR="00396064" w:rsidRPr="005B1CF4" w:rsidP="00686617">
            <w:pPr>
              <w:jc w:val="center"/>
              <w:rPr>
                <w:rFonts w:ascii="Arial Narrow" w:hAnsi="Arial Narrow" w:cs="Calibri"/>
                <w:color w:val="000000"/>
                <w:sz w:val="18"/>
                <w:szCs w:val="18"/>
              </w:rPr>
            </w:pPr>
            <w:r>
              <w:rPr>
                <w:rFonts w:ascii="Arial Narrow" w:hAnsi="Arial Narrow" w:cs="Calibri"/>
                <w:color w:val="000000"/>
                <w:sz w:val="18"/>
                <w:szCs w:val="18"/>
              </w:rPr>
              <w:t>1:00 p</w:t>
            </w:r>
            <w:r w:rsidRPr="005B1CF4">
              <w:rPr>
                <w:rFonts w:ascii="Arial Narrow" w:hAnsi="Arial Narrow" w:cs="Calibri"/>
                <w:color w:val="000000"/>
                <w:sz w:val="18"/>
                <w:szCs w:val="18"/>
              </w:rPr>
              <w:t>.m</w:t>
            </w:r>
            <w:r>
              <w:rPr>
                <w:rFonts w:ascii="Arial Narrow" w:hAnsi="Arial Narrow" w:cs="Calibri"/>
                <w:color w:val="000000"/>
                <w:sz w:val="18"/>
                <w:szCs w:val="18"/>
              </w:rPr>
              <w:t>.</w:t>
            </w:r>
            <w:r w:rsidRPr="005B1CF4">
              <w:rPr>
                <w:rFonts w:ascii="Arial Narrow" w:hAnsi="Arial Narrow" w:cs="Calibri"/>
                <w:color w:val="000000"/>
                <w:sz w:val="18"/>
                <w:szCs w:val="18"/>
              </w:rPr>
              <w:t xml:space="preserve"> – </w:t>
            </w:r>
            <w:r>
              <w:rPr>
                <w:rFonts w:ascii="Arial Narrow" w:hAnsi="Arial Narrow" w:cs="Calibri"/>
                <w:color w:val="000000"/>
                <w:sz w:val="18"/>
                <w:szCs w:val="18"/>
              </w:rPr>
              <w:t>4</w:t>
            </w:r>
            <w:r w:rsidRPr="005B1CF4">
              <w:rPr>
                <w:rFonts w:ascii="Arial Narrow" w:hAnsi="Arial Narrow" w:cs="Calibri"/>
                <w:color w:val="000000"/>
                <w:sz w:val="18"/>
                <w:szCs w:val="18"/>
              </w:rPr>
              <w:t xml:space="preserve">:00 </w:t>
            </w:r>
            <w:r>
              <w:rPr>
                <w:rFonts w:ascii="Arial Narrow" w:hAnsi="Arial Narrow" w:cs="Calibri"/>
                <w:color w:val="000000"/>
                <w:sz w:val="18"/>
                <w:szCs w:val="18"/>
              </w:rPr>
              <w:t>p</w:t>
            </w:r>
            <w:r w:rsidRPr="005B1CF4">
              <w:rPr>
                <w:rFonts w:ascii="Arial Narrow" w:hAnsi="Arial Narrow" w:cs="Calibri"/>
                <w:color w:val="000000"/>
                <w:sz w:val="18"/>
                <w:szCs w:val="18"/>
              </w:rPr>
              <w:t>.m</w:t>
            </w:r>
            <w:r>
              <w:rPr>
                <w:rFonts w:ascii="Arial Narrow" w:hAnsi="Arial Narrow" w:cs="Calibri"/>
                <w:color w:val="000000"/>
                <w:sz w:val="18"/>
                <w:szCs w:val="18"/>
              </w:rPr>
              <w:t>.</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tcPr>
          <w:p w:rsidR="00686617" w:rsidP="00396064">
            <w:pPr>
              <w:jc w:val="center"/>
              <w:rPr>
                <w:rFonts w:ascii="Arial Narrow" w:hAnsi="Arial Narrow" w:cs="Calibri"/>
                <w:color w:val="000000"/>
                <w:sz w:val="18"/>
                <w:szCs w:val="18"/>
              </w:rPr>
            </w:pPr>
            <w:r>
              <w:rPr>
                <w:rFonts w:ascii="Arial Narrow" w:hAnsi="Arial Narrow" w:cs="Calibri"/>
                <w:color w:val="000000"/>
                <w:sz w:val="18"/>
                <w:szCs w:val="18"/>
              </w:rPr>
              <w:t>May 18</w:t>
            </w:r>
            <w:r w:rsidRPr="00686617">
              <w:rPr>
                <w:rFonts w:ascii="Arial Narrow" w:hAnsi="Arial Narrow" w:cs="Calibri"/>
                <w:color w:val="000000"/>
                <w:sz w:val="18"/>
                <w:szCs w:val="18"/>
                <w:vertAlign w:val="superscript"/>
              </w:rPr>
              <w:t>th</w:t>
            </w:r>
            <w:r>
              <w:rPr>
                <w:rFonts w:ascii="Arial Narrow" w:hAnsi="Arial Narrow" w:cs="Calibri"/>
                <w:color w:val="000000"/>
                <w:sz w:val="18"/>
                <w:szCs w:val="18"/>
              </w:rPr>
              <w:t>, 2023</w:t>
            </w:r>
          </w:p>
        </w:tc>
        <w:tc>
          <w:tcPr>
            <w:tcW w:w="4352" w:type="dxa"/>
          </w:tcPr>
          <w:p w:rsidR="00686617" w:rsidP="0055153D">
            <w:pPr>
              <w:jc w:val="center"/>
              <w:rPr>
                <w:rFonts w:ascii="Arial Narrow" w:hAnsi="Arial Narrow" w:cs="Calibri"/>
                <w:color w:val="000000"/>
                <w:sz w:val="18"/>
                <w:szCs w:val="18"/>
              </w:rPr>
            </w:pPr>
            <w:r>
              <w:rPr>
                <w:rFonts w:ascii="Arial Narrow" w:hAnsi="Arial Narrow" w:cs="Calibri"/>
                <w:color w:val="000000"/>
                <w:sz w:val="18"/>
                <w:szCs w:val="18"/>
              </w:rPr>
              <w:t>1:00 p.m. – 4:00 p.m.</w:t>
            </w:r>
          </w:p>
        </w:tc>
        <w:tc>
          <w:tcPr>
            <w:tcW w:w="3129" w:type="dxa"/>
          </w:tcPr>
          <w:p w:rsidR="00686617" w:rsidRPr="005B1CF4" w:rsidP="00396064">
            <w:pPr>
              <w:jc w:val="center"/>
              <w:rPr>
                <w:rFonts w:ascii="Arial Narrow" w:hAnsi="Arial Narrow" w:cs="Calibri"/>
                <w:color w:val="000000"/>
                <w:sz w:val="18"/>
                <w:szCs w:val="18"/>
              </w:rPr>
            </w:pPr>
            <w:r>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tcPr>
          <w:p w:rsidR="00686617" w:rsidP="00396064">
            <w:pPr>
              <w:jc w:val="center"/>
              <w:rPr>
                <w:rFonts w:ascii="Arial Narrow" w:hAnsi="Arial Narrow" w:cs="Calibri"/>
                <w:color w:val="000000"/>
                <w:sz w:val="18"/>
                <w:szCs w:val="18"/>
              </w:rPr>
            </w:pPr>
            <w:r>
              <w:rPr>
                <w:rFonts w:ascii="Arial Narrow" w:hAnsi="Arial Narrow" w:cs="Calibri"/>
                <w:color w:val="000000"/>
                <w:sz w:val="18"/>
                <w:szCs w:val="18"/>
              </w:rPr>
              <w:t>June 15</w:t>
            </w:r>
            <w:r w:rsidRPr="00686617">
              <w:rPr>
                <w:rFonts w:ascii="Arial Narrow" w:hAnsi="Arial Narrow" w:cs="Calibri"/>
                <w:color w:val="000000"/>
                <w:sz w:val="18"/>
                <w:szCs w:val="18"/>
                <w:vertAlign w:val="superscript"/>
              </w:rPr>
              <w:t>th</w:t>
            </w:r>
            <w:r>
              <w:rPr>
                <w:rFonts w:ascii="Arial Narrow" w:hAnsi="Arial Narrow" w:cs="Calibri"/>
                <w:color w:val="000000"/>
                <w:sz w:val="18"/>
                <w:szCs w:val="18"/>
              </w:rPr>
              <w:t>, 2023</w:t>
            </w:r>
          </w:p>
        </w:tc>
        <w:tc>
          <w:tcPr>
            <w:tcW w:w="4352" w:type="dxa"/>
          </w:tcPr>
          <w:p w:rsidR="00686617" w:rsidP="0055153D">
            <w:pPr>
              <w:jc w:val="center"/>
              <w:rPr>
                <w:rFonts w:ascii="Arial Narrow" w:hAnsi="Arial Narrow" w:cs="Calibri"/>
                <w:color w:val="000000"/>
                <w:sz w:val="18"/>
                <w:szCs w:val="18"/>
              </w:rPr>
            </w:pPr>
            <w:r>
              <w:rPr>
                <w:rFonts w:ascii="Arial Narrow" w:hAnsi="Arial Narrow" w:cs="Calibri"/>
                <w:color w:val="000000"/>
                <w:sz w:val="18"/>
                <w:szCs w:val="18"/>
              </w:rPr>
              <w:t>1:00 p.m. – 4:00 p.m.</w:t>
            </w:r>
          </w:p>
        </w:tc>
        <w:tc>
          <w:tcPr>
            <w:tcW w:w="3129" w:type="dxa"/>
          </w:tcPr>
          <w:p w:rsidR="00686617" w:rsidP="00396064">
            <w:pPr>
              <w:jc w:val="center"/>
              <w:rPr>
                <w:rFonts w:ascii="Arial Narrow" w:hAnsi="Arial Narrow" w:cs="Calibri"/>
                <w:color w:val="000000"/>
                <w:sz w:val="18"/>
                <w:szCs w:val="18"/>
              </w:rPr>
            </w:pPr>
            <w:r>
              <w:rPr>
                <w:rFonts w:ascii="Arial Narrow" w:hAnsi="Arial Narrow" w:cs="Calibri"/>
                <w:color w:val="000000"/>
                <w:sz w:val="18"/>
                <w:szCs w:val="18"/>
              </w:rPr>
              <w:t xml:space="preserve">Teleconference </w:t>
            </w:r>
          </w:p>
        </w:tc>
      </w:tr>
      <w:tr w:rsidTr="005B1CF4">
        <w:tblPrEx>
          <w:tblW w:w="9357" w:type="dxa"/>
          <w:tblInd w:w="-5" w:type="dxa"/>
          <w:tblLook w:val="04A0"/>
        </w:tblPrEx>
        <w:trPr>
          <w:trHeight w:val="70"/>
        </w:trPr>
        <w:tc>
          <w:tcPr>
            <w:tcW w:w="1876" w:type="dxa"/>
            <w:noWrap/>
          </w:tcPr>
          <w:p w:rsidR="00686617" w:rsidP="00396064">
            <w:pPr>
              <w:jc w:val="center"/>
              <w:rPr>
                <w:rFonts w:ascii="Arial Narrow" w:hAnsi="Arial Narrow" w:cs="Calibri"/>
                <w:color w:val="000000"/>
                <w:sz w:val="18"/>
                <w:szCs w:val="18"/>
              </w:rPr>
            </w:pPr>
          </w:p>
        </w:tc>
        <w:tc>
          <w:tcPr>
            <w:tcW w:w="4352" w:type="dxa"/>
          </w:tcPr>
          <w:p w:rsidR="00686617" w:rsidP="0055153D">
            <w:pPr>
              <w:jc w:val="center"/>
              <w:rPr>
                <w:rFonts w:ascii="Arial Narrow" w:hAnsi="Arial Narrow" w:cs="Calibri"/>
                <w:color w:val="000000"/>
                <w:sz w:val="18"/>
                <w:szCs w:val="18"/>
              </w:rPr>
            </w:pPr>
          </w:p>
        </w:tc>
        <w:tc>
          <w:tcPr>
            <w:tcW w:w="3129" w:type="dxa"/>
          </w:tcPr>
          <w:p w:rsidR="00686617" w:rsidRPr="005B1CF4" w:rsidP="00396064">
            <w:pPr>
              <w:jc w:val="center"/>
              <w:rPr>
                <w:rFonts w:ascii="Arial Narrow" w:hAnsi="Arial Narrow" w:cs="Calibri"/>
                <w:color w:val="000000"/>
                <w:sz w:val="18"/>
                <w:szCs w:val="18"/>
              </w:rPr>
            </w:pPr>
          </w:p>
        </w:tc>
      </w:tr>
      <w:tr w:rsidTr="005B1CF4">
        <w:tblPrEx>
          <w:tblW w:w="9357" w:type="dxa"/>
          <w:tblInd w:w="-5" w:type="dxa"/>
          <w:tblLook w:val="04A0"/>
        </w:tblPrEx>
        <w:trPr>
          <w:trHeight w:val="70"/>
        </w:trPr>
        <w:tc>
          <w:tcPr>
            <w:tcW w:w="1876" w:type="dxa"/>
            <w:noWrap/>
          </w:tcPr>
          <w:p w:rsidR="00686617" w:rsidP="00396064">
            <w:pPr>
              <w:jc w:val="center"/>
              <w:rPr>
                <w:rFonts w:ascii="Arial Narrow" w:hAnsi="Arial Narrow" w:cs="Calibri"/>
                <w:color w:val="000000"/>
                <w:sz w:val="18"/>
                <w:szCs w:val="18"/>
              </w:rPr>
            </w:pPr>
          </w:p>
        </w:tc>
        <w:tc>
          <w:tcPr>
            <w:tcW w:w="4352" w:type="dxa"/>
          </w:tcPr>
          <w:p w:rsidR="00686617" w:rsidP="0055153D">
            <w:pPr>
              <w:jc w:val="center"/>
              <w:rPr>
                <w:rFonts w:ascii="Arial Narrow" w:hAnsi="Arial Narrow" w:cs="Calibri"/>
                <w:color w:val="000000"/>
                <w:sz w:val="18"/>
                <w:szCs w:val="18"/>
              </w:rPr>
            </w:pPr>
          </w:p>
        </w:tc>
        <w:tc>
          <w:tcPr>
            <w:tcW w:w="3129" w:type="dxa"/>
          </w:tcPr>
          <w:p w:rsidR="00686617" w:rsidRPr="005B1CF4" w:rsidP="00396064">
            <w:pPr>
              <w:jc w:val="center"/>
              <w:rPr>
                <w:rFonts w:ascii="Arial Narrow" w:hAnsi="Arial Narrow" w:cs="Calibri"/>
                <w:color w:val="000000"/>
                <w:sz w:val="18"/>
                <w:szCs w:val="18"/>
              </w:rPr>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bookmarkStart w:id="2" w:name="_GoBack"/>
      <w:bookmarkEnd w:id="2"/>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661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686617">
      <w:rPr>
        <w:rFonts w:ascii="Arial Narrow" w:hAnsi="Arial Narrow"/>
        <w:sz w:val="20"/>
      </w:rPr>
      <w:t>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305A1"/>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153D"/>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26A6D"/>
    <w:rsid w:val="00647180"/>
    <w:rsid w:val="00647802"/>
    <w:rsid w:val="006838EB"/>
    <w:rsid w:val="00686617"/>
    <w:rsid w:val="006B289B"/>
    <w:rsid w:val="006B7B57"/>
    <w:rsid w:val="006E25C1"/>
    <w:rsid w:val="00712CAA"/>
    <w:rsid w:val="00716A8B"/>
    <w:rsid w:val="007323E8"/>
    <w:rsid w:val="007429B2"/>
    <w:rsid w:val="00744A45"/>
    <w:rsid w:val="00753EDF"/>
    <w:rsid w:val="00754C6D"/>
    <w:rsid w:val="00755096"/>
    <w:rsid w:val="00760FBF"/>
    <w:rsid w:val="00762273"/>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93F62"/>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1E92"/>
    <w:rsid w:val="00AD292A"/>
    <w:rsid w:val="00AE148B"/>
    <w:rsid w:val="00AF2130"/>
    <w:rsid w:val="00B00BF3"/>
    <w:rsid w:val="00B10057"/>
    <w:rsid w:val="00B16D95"/>
    <w:rsid w:val="00B20316"/>
    <w:rsid w:val="00B212CB"/>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93A4D"/>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8B41C9"/>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