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12.0 -->
  <w:body>
    <w:p w:rsidR="00F05E88" w:rsidRPr="00B62597" w:rsidP="00F05E88">
      <w:pPr>
        <w:pStyle w:val="MeetingDetails"/>
      </w:pPr>
      <w:r>
        <w:t>Interconnection Process Subcommittee</w:t>
      </w:r>
    </w:p>
    <w:p w:rsidR="00F05E88" w:rsidRPr="00B62597" w:rsidP="00F05E88">
      <w:pPr>
        <w:pStyle w:val="MeetingDetails"/>
      </w:pPr>
      <w:r>
        <w:t>PJM Conference and Training Center</w:t>
      </w:r>
    </w:p>
    <w:p w:rsidR="00F05E88" w:rsidRPr="00B62597" w:rsidP="00F05E88">
      <w:pPr>
        <w:pStyle w:val="MeetingDetails"/>
      </w:pPr>
      <w:r>
        <w:t>January 2</w:t>
      </w:r>
      <w:r w:rsidR="00D674D9">
        <w:t>9, 2024</w:t>
      </w:r>
    </w:p>
    <w:p w:rsidR="00F05E88" w:rsidRPr="00B62597" w:rsidP="00F05E88">
      <w:pPr>
        <w:pStyle w:val="MeetingDetails"/>
        <w:rPr>
          <w:sz w:val="28"/>
          <w:u w:val="single"/>
        </w:rPr>
      </w:pPr>
      <w:r>
        <w:t>9:00 a.m. – 12:00 p.m. EPT</w:t>
      </w:r>
    </w:p>
    <w:p w:rsidR="00F05E88" w:rsidRPr="00B62597" w:rsidP="00F05E88">
      <w:pPr>
        <w:spacing w:after="0" w:line="240" w:lineRule="auto"/>
        <w:rPr>
          <w:rFonts w:ascii="Arial Narrow" w:eastAsia="Times New Roman" w:hAnsi="Arial Narrow" w:cs="Times New Roman"/>
          <w:sz w:val="24"/>
          <w:szCs w:val="20"/>
        </w:rPr>
      </w:pPr>
    </w:p>
    <w:p w:rsidR="00F05E88" w:rsidRPr="00B62597" w:rsidP="00F05E88">
      <w:pPr>
        <w:pStyle w:val="PrimaryHeading"/>
        <w:rPr>
          <w:caps/>
        </w:rPr>
      </w:pPr>
      <w:bookmarkStart w:id="0" w:name="OLE_LINK5"/>
      <w:bookmarkStart w:id="1" w:name="OLE_LINK3"/>
      <w:r w:rsidRPr="00527104">
        <w:t>Adm</w:t>
      </w:r>
      <w:r w:rsidRPr="007C2954">
        <w:t>inistrati</w:t>
      </w:r>
      <w:r w:rsidRPr="00527104">
        <w:t>on (</w:t>
      </w:r>
      <w:r>
        <w:t>9</w:t>
      </w:r>
      <w:r w:rsidRPr="00527104">
        <w:t>:00-</w:t>
      </w:r>
      <w:r>
        <w:t>9</w:t>
      </w:r>
      <w:r w:rsidRPr="00527104">
        <w:t>:</w:t>
      </w:r>
      <w:r>
        <w:t>1</w:t>
      </w:r>
      <w:r w:rsidRPr="00527104">
        <w:t>0)</w:t>
      </w:r>
    </w:p>
    <w:bookmarkEnd w:id="0"/>
    <w:bookmarkEnd w:id="1"/>
    <w:p w:rsidR="00F05E88" w:rsidRPr="00DE452C" w:rsidP="00F05E88">
      <w:pPr>
        <w:pStyle w:val="SecondaryHeading-Numbered"/>
        <w:rPr>
          <w:b w:val="0"/>
        </w:rPr>
      </w:pPr>
      <w:r>
        <w:rPr>
          <w:b w:val="0"/>
        </w:rPr>
        <w:t>Ed Kovler</w:t>
      </w:r>
      <w:r w:rsidRPr="00DE452C">
        <w:rPr>
          <w:b w:val="0"/>
        </w:rPr>
        <w:t xml:space="preserve">, PJM, will provide welcome and announcements. </w:t>
      </w:r>
      <w:r>
        <w:rPr>
          <w:b w:val="0"/>
        </w:rPr>
        <w:t>Rebecca Gerber</w:t>
      </w:r>
      <w:r w:rsidRPr="00DE452C">
        <w:rPr>
          <w:b w:val="0"/>
        </w:rPr>
        <w:t xml:space="preserve">, PJM, will review Antitrust, Code of Conduct, and Public Meeting/Media Participation Guidelines. </w:t>
      </w:r>
    </w:p>
    <w:p w:rsidR="00F05E88" w:rsidRPr="00917386" w:rsidP="00F05E88">
      <w:pPr>
        <w:pStyle w:val="SecondaryHeading-Numbered"/>
        <w:rPr>
          <w:b w:val="0"/>
        </w:rPr>
      </w:pPr>
      <w:r>
        <w:rPr>
          <w:b w:val="0"/>
        </w:rPr>
        <w:t>Rebecca Gerber</w:t>
      </w:r>
      <w:r w:rsidRPr="00DE452C">
        <w:rPr>
          <w:b w:val="0"/>
        </w:rPr>
        <w:t>, PJM, will review the minutes from the last meeting</w:t>
      </w:r>
      <w:r>
        <w:rPr>
          <w:b w:val="0"/>
        </w:rPr>
        <w:t>.</w:t>
      </w:r>
    </w:p>
    <w:p w:rsidR="006D7C71" w:rsidP="006D7C71">
      <w:pPr>
        <w:pStyle w:val="PrimaryHeading"/>
      </w:pPr>
      <w:r>
        <w:t>Information (09:10-1</w:t>
      </w:r>
      <w:r w:rsidR="005033C1">
        <w:t>1</w:t>
      </w:r>
      <w:r>
        <w:t>:</w:t>
      </w:r>
      <w:r w:rsidR="005033C1">
        <w:t>3</w:t>
      </w:r>
      <w:r>
        <w:t>0</w:t>
      </w:r>
      <w:r w:rsidRPr="00DB29E9">
        <w:t>)</w:t>
      </w:r>
    </w:p>
    <w:p w:rsidR="0017735C" w:rsidP="0017735C">
      <w:pPr>
        <w:pStyle w:val="SecondaryHeading-Numbered"/>
        <w:rPr>
          <w:b w:val="0"/>
        </w:rPr>
      </w:pPr>
      <w:r>
        <w:rPr>
          <w:b w:val="0"/>
        </w:rPr>
        <w:t>Ch</w:t>
      </w:r>
      <w:r w:rsidR="002A3EF9">
        <w:rPr>
          <w:b w:val="0"/>
        </w:rPr>
        <w:t xml:space="preserve">ristina Andalora, </w:t>
      </w:r>
      <w:r>
        <w:rPr>
          <w:b w:val="0"/>
        </w:rPr>
        <w:t xml:space="preserve">PJM, will provide the 2024 Roadmap and review </w:t>
      </w:r>
      <w:r w:rsidR="002A3EF9">
        <w:rPr>
          <w:b w:val="0"/>
        </w:rPr>
        <w:t>accomplishments from 2023</w:t>
      </w:r>
    </w:p>
    <w:p w:rsidR="0017735C" w:rsidRPr="00A6110D" w:rsidP="0017735C">
      <w:pPr>
        <w:pStyle w:val="ListSubhead1"/>
        <w:rPr>
          <w:b w:val="0"/>
        </w:rPr>
      </w:pPr>
      <w:r>
        <w:rPr>
          <w:b w:val="0"/>
        </w:rPr>
        <w:t xml:space="preserve">Heather Reiter, PJM, will </w:t>
      </w:r>
      <w:r w:rsidR="002A3EF9">
        <w:rPr>
          <w:b w:val="0"/>
        </w:rPr>
        <w:t>discuss the Interconnection Analysis Expedited Process &amp; Transition Cycle 1 study status</w:t>
      </w:r>
    </w:p>
    <w:p w:rsidR="002A3EF9" w:rsidP="001502FA">
      <w:pPr>
        <w:pStyle w:val="SecondaryHeading-Numbered"/>
        <w:rPr>
          <w:b w:val="0"/>
        </w:rPr>
      </w:pPr>
      <w:r w:rsidRPr="002A3EF9">
        <w:rPr>
          <w:b w:val="0"/>
        </w:rPr>
        <w:t xml:space="preserve">Stacey </w:t>
      </w:r>
      <w:r w:rsidRPr="002A3EF9">
        <w:rPr>
          <w:b w:val="0"/>
        </w:rPr>
        <w:t>Nestel</w:t>
      </w:r>
      <w:r w:rsidRPr="002A3EF9">
        <w:rPr>
          <w:b w:val="0"/>
        </w:rPr>
        <w:t xml:space="preserve"> and Jennie </w:t>
      </w:r>
      <w:r w:rsidRPr="002A3EF9">
        <w:rPr>
          <w:b w:val="0"/>
        </w:rPr>
        <w:t>Speelman</w:t>
      </w:r>
      <w:r w:rsidRPr="002A3EF9" w:rsidR="006D7C71">
        <w:rPr>
          <w:b w:val="0"/>
        </w:rPr>
        <w:t>,</w:t>
      </w:r>
      <w:r w:rsidRPr="002A3EF9">
        <w:rPr>
          <w:b w:val="0"/>
        </w:rPr>
        <w:t xml:space="preserve"> both</w:t>
      </w:r>
      <w:r>
        <w:rPr>
          <w:b w:val="0"/>
        </w:rPr>
        <w:t xml:space="preserve"> PJM, will lead an Interconnection Projects Readiness Review Lessons Learned Debrief</w:t>
      </w:r>
    </w:p>
    <w:p w:rsidR="006D7C71" w:rsidRPr="002A3EF9" w:rsidP="001502FA">
      <w:pPr>
        <w:pStyle w:val="SecondaryHeading-Numbered"/>
        <w:rPr>
          <w:b w:val="0"/>
        </w:rPr>
      </w:pPr>
      <w:r w:rsidRPr="002A3EF9">
        <w:rPr>
          <w:b w:val="0"/>
        </w:rPr>
        <w:t>Dylan Seeley</w:t>
      </w:r>
      <w:r w:rsidRPr="002A3EF9">
        <w:rPr>
          <w:b w:val="0"/>
        </w:rPr>
        <w:t xml:space="preserve">, PJM, will review Draft Agreements in </w:t>
      </w:r>
      <w:r w:rsidRPr="002A3EF9">
        <w:rPr>
          <w:b w:val="0"/>
        </w:rPr>
        <w:t>DocuTrack</w:t>
      </w:r>
    </w:p>
    <w:p w:rsidR="006D7C71" w:rsidRPr="001B2242" w:rsidP="00D8434F">
      <w:pPr>
        <w:pStyle w:val="SecondaryHeading-Numbered"/>
      </w:pPr>
      <w:r>
        <w:rPr>
          <w:b w:val="0"/>
        </w:rPr>
        <w:t xml:space="preserve">Paula Moore, PJM, will </w:t>
      </w:r>
      <w:r w:rsidR="002A3EF9">
        <w:rPr>
          <w:b w:val="0"/>
        </w:rPr>
        <w:t>discuss</w:t>
      </w:r>
      <w:r>
        <w:rPr>
          <w:b w:val="0"/>
        </w:rPr>
        <w:t xml:space="preserve"> </w:t>
      </w:r>
      <w:r w:rsidRPr="006D7C71">
        <w:rPr>
          <w:b w:val="0"/>
        </w:rPr>
        <w:t>Additional Study Deposits</w:t>
      </w:r>
    </w:p>
    <w:p w:rsidR="00F05E88" w:rsidP="00F05E88">
      <w:pPr>
        <w:pStyle w:val="PrimaryHeading"/>
      </w:pPr>
      <w:r>
        <w:t>CIR Transfer Efficiency CBIR Process (</w:t>
      </w:r>
      <w:r w:rsidR="005033C1">
        <w:t>11:30</w:t>
      </w:r>
      <w:r>
        <w:t>-12:00</w:t>
      </w:r>
      <w:r w:rsidRPr="00DB29E9">
        <w:t>)</w:t>
      </w:r>
    </w:p>
    <w:p w:rsidR="00F05E88" w:rsidRPr="001B2242" w:rsidP="00F05E88">
      <w:pPr>
        <w:pStyle w:val="SecondaryHeading-Numbered"/>
      </w:pPr>
      <w:r>
        <w:rPr>
          <w:b w:val="0"/>
        </w:rPr>
        <w:t>Ed Kovler</w:t>
      </w:r>
      <w:r w:rsidRPr="00D729E2">
        <w:rPr>
          <w:b w:val="0"/>
        </w:rPr>
        <w:t xml:space="preserve">, PJM, will lead the CBIR process while focusing on identifying </w:t>
      </w:r>
      <w:r>
        <w:rPr>
          <w:b w:val="0"/>
        </w:rPr>
        <w:t xml:space="preserve">and reviewing </w:t>
      </w:r>
      <w:r w:rsidRPr="00D729E2">
        <w:rPr>
          <w:b w:val="0"/>
        </w:rPr>
        <w:t>interests</w:t>
      </w:r>
      <w:r>
        <w:rPr>
          <w:b w:val="0"/>
        </w:rPr>
        <w:t>,</w:t>
      </w:r>
      <w:r w:rsidRPr="00D729E2">
        <w:rPr>
          <w:b w:val="0"/>
        </w:rPr>
        <w:t xml:space="preserve"> design components</w:t>
      </w:r>
      <w:r>
        <w:rPr>
          <w:b w:val="0"/>
        </w:rPr>
        <w:t xml:space="preserve"> and solution options</w:t>
      </w:r>
      <w:r>
        <w:t>.</w:t>
      </w:r>
      <w:bookmarkStart w:id="2" w:name="_GoBack"/>
      <w:bookmarkEnd w:id="2"/>
    </w:p>
    <w:tbl>
      <w:tblPr>
        <w:tblStyle w:val="GridTable2Accent5"/>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
      <w:tblGrid>
        <w:gridCol w:w="9360"/>
      </w:tblGrid>
      <w:tr w:rsidTr="001D5A5C">
        <w:tblPrEx>
          <w:tblW w:w="0" w:type="auto"/>
          <w:tblBorders>
            <w:top w:val="none" w:sz="0" w:space="0" w:color="auto"/>
            <w:bottom w:val="none" w:sz="0" w:space="0" w:color="auto"/>
            <w:insideH w:val="none" w:sz="0" w:space="0" w:color="auto"/>
            <w:insideV w:val="none" w:sz="0" w:space="0" w:color="auto"/>
          </w:tblBorders>
          <w:tblLayout w:type="fixed"/>
          <w:tblCellMar>
            <w:top w:w="43" w:type="dxa"/>
            <w:left w:w="115" w:type="dxa"/>
            <w:right w:w="115" w:type="dxa"/>
          </w:tblCellMar>
          <w:tblLook w:val="04A0"/>
        </w:tblPrEx>
        <w:trPr>
          <w:trHeight w:val="331"/>
        </w:trPr>
        <w:tc>
          <w:tcPr>
            <w:tcW w:w="9360" w:type="dxa"/>
            <w:shd w:val="clear" w:color="auto" w:fill="00B0F0" w:themeFill="accent3"/>
          </w:tcPr>
          <w:p w:rsidR="00F05E88" w:rsidRPr="0095194C" w:rsidP="001D5A5C">
            <w:pPr>
              <w:pStyle w:val="PrimaryHeading"/>
              <w:spacing w:after="0"/>
              <w:rPr>
                <w:b/>
              </w:rPr>
            </w:pPr>
            <w:r>
              <w:rPr>
                <w:b/>
              </w:rPr>
              <w:t>Future Agenda Items</w:t>
            </w:r>
          </w:p>
        </w:tc>
      </w:tr>
      <w:tr w:rsidTr="001D5A5C">
        <w:tblPrEx>
          <w:tblW w:w="0" w:type="auto"/>
          <w:tblLayout w:type="fixed"/>
          <w:tblCellMar>
            <w:top w:w="43" w:type="dxa"/>
            <w:left w:w="115" w:type="dxa"/>
            <w:right w:w="115" w:type="dxa"/>
          </w:tblCellMar>
          <w:tblLook w:val="04A0"/>
        </w:tblPrEx>
        <w:trPr>
          <w:trHeight w:val="296"/>
        </w:trPr>
        <w:tc>
          <w:tcPr>
            <w:tcW w:w="9360" w:type="dxa"/>
            <w:tcBorders>
              <w:bottom w:val="single" w:sz="4" w:space="0" w:color="93E2FE" w:themeColor="accent3" w:themeTint="66"/>
            </w:tcBorders>
            <w:shd w:val="clear" w:color="auto" w:fill="auto"/>
          </w:tcPr>
          <w:p w:rsidR="00F05E88" w:rsidP="001D5A5C">
            <w:pPr>
              <w:pStyle w:val="AttendeesList"/>
            </w:pPr>
            <w:r w:rsidRPr="00DE452C">
              <w:t>Participants will have the opportunity to suggest future agenda items</w:t>
            </w:r>
            <w:r>
              <w:t>.</w:t>
            </w:r>
          </w:p>
        </w:tc>
      </w:tr>
    </w:tbl>
    <w:p w:rsidR="003C3320" w:rsidP="003C3320">
      <w:pPr>
        <w:pStyle w:val="NoListBody"/>
        <w:ind w:left="0"/>
      </w:pPr>
    </w:p>
    <w:tbl>
      <w:tblPr>
        <w:tblStyle w:val="GridTable3Accent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30"/>
        <w:gridCol w:w="1980"/>
        <w:gridCol w:w="2430"/>
        <w:gridCol w:w="1816"/>
        <w:gridCol w:w="1529"/>
      </w:tblGrid>
      <w:tr w:rsidTr="00CE451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309"/>
        </w:trPr>
        <w:tc>
          <w:tcPr>
            <w:tcW w:w="5940" w:type="dxa"/>
            <w:gridSpan w:val="3"/>
            <w:tcBorders>
              <w:top w:val="single" w:sz="6" w:space="0" w:color="FFFFFF" w:themeColor="background1"/>
              <w:bottom w:val="single" w:sz="4" w:space="0" w:color="auto"/>
              <w:right w:val="single" w:sz="8" w:space="0" w:color="auto"/>
            </w:tcBorders>
            <w:shd w:val="clear" w:color="auto" w:fill="00B0F0" w:themeFill="accent3"/>
            <w:vAlign w:val="center"/>
          </w:tcPr>
          <w:p w:rsidR="00DF1112" w:rsidRPr="003C3320" w:rsidP="00CE451E">
            <w:pPr>
              <w:pStyle w:val="PrimaryHeading"/>
              <w:keepNext w:val="0"/>
              <w:keepLines/>
              <w:spacing w:after="0"/>
              <w:jc w:val="left"/>
              <w:rPr>
                <w:b/>
                <w:i w:val="0"/>
              </w:rPr>
            </w:pPr>
            <w:r w:rsidRPr="00DF1112">
              <w:rPr>
                <w:b/>
                <w:i w:val="0"/>
                <w:iCs w:val="0"/>
              </w:rPr>
              <w:t>Future Meeting Dates and Materials</w:t>
            </w:r>
          </w:p>
        </w:tc>
        <w:tc>
          <w:tcPr>
            <w:tcW w:w="1816" w:type="dxa"/>
            <w:vMerge w:val="restart"/>
            <w:tcBorders>
              <w:top w:val="single" w:sz="6" w:space="0" w:color="FFFFFF" w:themeColor="background1"/>
              <w:left w:val="single" w:sz="6" w:space="0" w:color="FFFFFF" w:themeColor="background1"/>
              <w:right w:val="single" w:sz="6" w:space="0" w:color="FFFFFF" w:themeColor="background1"/>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Due</w:t>
            </w:r>
            <w:r>
              <w:rPr>
                <w:b/>
                <w:color w:val="FFFFFF" w:themeColor="background1"/>
                <w:sz w:val="19"/>
                <w:szCs w:val="19"/>
              </w:rPr>
              <w:br/>
            </w:r>
            <w:r w:rsidRPr="00DA23DE">
              <w:rPr>
                <w:b/>
                <w:color w:val="FFFFFF" w:themeColor="background1"/>
                <w:sz w:val="19"/>
                <w:szCs w:val="19"/>
              </w:rPr>
              <w:t xml:space="preserve"> to Secretary</w:t>
            </w:r>
            <w:r w:rsidR="00CE451E">
              <w:rPr>
                <w:b/>
                <w:color w:val="FFFFFF" w:themeColor="background1"/>
                <w:sz w:val="19"/>
                <w:szCs w:val="19"/>
              </w:rPr>
              <w:t xml:space="preserve"> </w:t>
            </w:r>
          </w:p>
        </w:tc>
        <w:tc>
          <w:tcPr>
            <w:tcW w:w="1529" w:type="dxa"/>
            <w:vMerge w:val="restart"/>
            <w:tcBorders>
              <w:top w:val="single" w:sz="6" w:space="0" w:color="FFFFFF" w:themeColor="background1"/>
              <w:left w:val="single" w:sz="6" w:space="0" w:color="FFFFFF" w:themeColor="background1"/>
              <w:right w:val="single" w:sz="4" w:space="0" w:color="auto"/>
            </w:tcBorders>
            <w:shd w:val="clear" w:color="auto" w:fill="013366" w:themeFill="accent1"/>
            <w:vAlign w:val="center"/>
          </w:tcPr>
          <w:p w:rsidR="00DF1112" w:rsidRPr="00DA23DE" w:rsidP="00CE451E">
            <w:pPr>
              <w:pStyle w:val="DisclaimerHeading"/>
              <w:keepLines/>
              <w:spacing w:before="40" w:after="40"/>
              <w:jc w:val="center"/>
              <w:rPr>
                <w:b/>
                <w:color w:val="FFFFFF" w:themeColor="background1"/>
                <w:sz w:val="19"/>
                <w:szCs w:val="19"/>
              </w:rPr>
            </w:pPr>
            <w:r w:rsidRPr="00DA23DE">
              <w:rPr>
                <w:b/>
                <w:color w:val="FFFFFF" w:themeColor="background1"/>
                <w:sz w:val="19"/>
                <w:szCs w:val="19"/>
              </w:rPr>
              <w:t>Materials Published</w:t>
            </w:r>
          </w:p>
        </w:tc>
      </w:tr>
      <w:tr w:rsidTr="00E20EE0">
        <w:tblPrEx>
          <w:tblW w:w="0" w:type="auto"/>
          <w:tblLook w:val="04A0"/>
        </w:tblPrEx>
        <w:trPr>
          <w:trHeight w:val="296"/>
        </w:trPr>
        <w:tc>
          <w:tcPr>
            <w:tcW w:w="1530" w:type="dxa"/>
            <w:vMerge w:val="restart"/>
            <w:tcBorders>
              <w:top w:val="single" w:sz="4" w:space="0" w:color="auto"/>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i w:val="0"/>
                <w:color w:val="auto"/>
                <w:sz w:val="19"/>
                <w:szCs w:val="19"/>
              </w:rPr>
            </w:pPr>
            <w:r w:rsidRPr="00BB6921">
              <w:rPr>
                <w:i w:val="0"/>
                <w:color w:val="auto"/>
                <w:sz w:val="19"/>
                <w:szCs w:val="19"/>
              </w:rPr>
              <w:t>Date</w:t>
            </w:r>
          </w:p>
        </w:tc>
        <w:tc>
          <w:tcPr>
            <w:tcW w:w="1980" w:type="dxa"/>
            <w:vMerge w:val="restart"/>
            <w:tcBorders>
              <w:top w:val="single" w:sz="4" w:space="0" w:color="auto"/>
              <w:left w:val="single" w:sz="6" w:space="0" w:color="FFFFFF" w:themeColor="background1"/>
              <w:bottom w:val="single" w:sz="8" w:space="0" w:color="013366" w:themeColor="accent1"/>
              <w:right w:val="single" w:sz="6" w:space="0" w:color="FFFFFF" w:themeColor="background1"/>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Time</w:t>
            </w:r>
          </w:p>
        </w:tc>
        <w:tc>
          <w:tcPr>
            <w:tcW w:w="2430" w:type="dxa"/>
            <w:vMerge w:val="restart"/>
            <w:tcBorders>
              <w:top w:val="single" w:sz="4" w:space="0" w:color="auto"/>
              <w:left w:val="single" w:sz="6" w:space="0" w:color="FFFFFF" w:themeColor="background1"/>
              <w:bottom w:val="single" w:sz="8" w:space="0" w:color="013366" w:themeColor="accent1"/>
              <w:right w:val="single" w:sz="8" w:space="0" w:color="auto"/>
            </w:tcBorders>
            <w:shd w:val="clear" w:color="auto" w:fill="000000" w:themeFill="text2"/>
            <w:vAlign w:val="bottom"/>
          </w:tcPr>
          <w:p w:rsidR="00CE451E" w:rsidRPr="00BB6921" w:rsidP="00CE451E">
            <w:pPr>
              <w:pStyle w:val="DisclaimerHeading"/>
              <w:keepLines/>
              <w:spacing w:after="60"/>
              <w:jc w:val="center"/>
              <w:rPr>
                <w:color w:val="auto"/>
                <w:sz w:val="19"/>
                <w:szCs w:val="19"/>
              </w:rPr>
            </w:pPr>
            <w:r w:rsidRPr="00BB6921">
              <w:rPr>
                <w:color w:val="auto"/>
                <w:sz w:val="19"/>
                <w:szCs w:val="19"/>
              </w:rPr>
              <w:t>Location</w:t>
            </w:r>
          </w:p>
        </w:tc>
        <w:tc>
          <w:tcPr>
            <w:tcW w:w="1816" w:type="dxa"/>
            <w:vMerge/>
            <w:tcBorders>
              <w:left w:val="single" w:sz="6" w:space="0" w:color="FFFFFF" w:themeColor="background1"/>
              <w:bottom w:val="single" w:sz="6" w:space="0" w:color="FFFFFF" w:themeColor="background1"/>
              <w:right w:val="single" w:sz="6" w:space="0" w:color="FFFFFF" w:themeColor="background1"/>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c>
          <w:tcPr>
            <w:tcW w:w="1529" w:type="dxa"/>
            <w:vMerge/>
            <w:tcBorders>
              <w:left w:val="single" w:sz="6" w:space="0" w:color="FFFFFF" w:themeColor="background1"/>
              <w:bottom w:val="single" w:sz="6" w:space="0" w:color="FFFFFF" w:themeColor="background1"/>
              <w:right w:val="single" w:sz="4" w:space="0" w:color="auto"/>
            </w:tcBorders>
            <w:shd w:val="clear" w:color="auto" w:fill="000000" w:themeFill="text2"/>
            <w:vAlign w:val="center"/>
          </w:tcPr>
          <w:p w:rsidR="00CE451E" w:rsidRPr="00C10A93" w:rsidP="00CE451E">
            <w:pPr>
              <w:pStyle w:val="DisclaimerHeading"/>
              <w:keepLines/>
              <w:jc w:val="center"/>
              <w:rPr>
                <w:color w:val="FFFFFF" w:themeColor="background1"/>
                <w:sz w:val="19"/>
                <w:szCs w:val="19"/>
              </w:rPr>
            </w:pPr>
          </w:p>
        </w:tc>
      </w:tr>
      <w:tr w:rsidTr="00E20EE0">
        <w:tblPrEx>
          <w:tblW w:w="0" w:type="auto"/>
          <w:tblLook w:val="04A0"/>
        </w:tblPrEx>
        <w:trPr>
          <w:trHeight w:val="331"/>
        </w:trPr>
        <w:tc>
          <w:tcPr>
            <w:tcW w:w="1530" w:type="dxa"/>
            <w:vMerge/>
            <w:tcBorders>
              <w:top w:val="single" w:sz="12" w:space="0" w:color="013366" w:themeColor="accent1"/>
              <w:bottom w:val="none" w:sz="0" w:space="0" w:color="auto"/>
              <w:right w:val="single" w:sz="6" w:space="0" w:color="FFFFFF" w:themeColor="background1"/>
            </w:tcBorders>
            <w:shd w:val="clear" w:color="auto" w:fill="E1F6FF"/>
          </w:tcPr>
          <w:p w:rsidR="00CE451E" w:rsidRPr="00BB6921" w:rsidP="00CE451E">
            <w:pPr>
              <w:pStyle w:val="DisclaimerHeading"/>
              <w:keepLines/>
              <w:spacing w:before="40" w:after="40" w:line="220" w:lineRule="exact"/>
              <w:jc w:val="left"/>
              <w:rPr>
                <w:b w:val="0"/>
                <w:i w:val="0"/>
                <w:color w:val="auto"/>
                <w:sz w:val="18"/>
                <w:szCs w:val="18"/>
              </w:rPr>
            </w:pPr>
          </w:p>
        </w:tc>
        <w:tc>
          <w:tcPr>
            <w:tcW w:w="1980" w:type="dxa"/>
            <w:vMerge/>
            <w:tcBorders>
              <w:top w:val="single" w:sz="12" w:space="0" w:color="013366" w:themeColor="accent1"/>
              <w:left w:val="single" w:sz="6" w:space="0" w:color="FFFFFF" w:themeColor="background1"/>
              <w:right w:val="single" w:sz="6" w:space="0" w:color="FFFFFF" w:themeColor="background1"/>
            </w:tcBorders>
          </w:tcPr>
          <w:p w:rsidR="00CE451E" w:rsidRPr="00C10A93" w:rsidP="00CE451E">
            <w:pPr>
              <w:pStyle w:val="DisclaimerHeading"/>
              <w:keepLines/>
              <w:spacing w:before="40" w:after="40" w:line="220" w:lineRule="exact"/>
              <w:rPr>
                <w:b w:val="0"/>
                <w:color w:val="auto"/>
                <w:sz w:val="18"/>
                <w:szCs w:val="18"/>
              </w:rPr>
            </w:pPr>
          </w:p>
        </w:tc>
        <w:tc>
          <w:tcPr>
            <w:tcW w:w="2430" w:type="dxa"/>
            <w:vMerge/>
            <w:tcBorders>
              <w:top w:val="single" w:sz="12" w:space="0" w:color="013366" w:themeColor="accent1"/>
              <w:left w:val="single" w:sz="6" w:space="0" w:color="FFFFFF" w:themeColor="background1"/>
              <w:right w:val="single" w:sz="8" w:space="0" w:color="auto"/>
            </w:tcBorders>
          </w:tcPr>
          <w:p w:rsidR="00CE451E" w:rsidRPr="00C10A93" w:rsidP="00CE451E">
            <w:pPr>
              <w:pStyle w:val="AttendeesList"/>
              <w:keepLines/>
              <w:spacing w:before="40" w:after="40" w:line="220" w:lineRule="exact"/>
              <w:rPr>
                <w:szCs w:val="18"/>
              </w:rPr>
            </w:pPr>
          </w:p>
        </w:tc>
        <w:tc>
          <w:tcPr>
            <w:tcW w:w="3345" w:type="dxa"/>
            <w:gridSpan w:val="2"/>
            <w:tcBorders>
              <w:top w:val="single" w:sz="6" w:space="0" w:color="FFFFFF" w:themeColor="background1"/>
              <w:left w:val="single" w:sz="4" w:space="0" w:color="auto"/>
              <w:right w:val="single" w:sz="4" w:space="0" w:color="auto"/>
            </w:tcBorders>
            <w:shd w:val="clear" w:color="auto" w:fill="013366" w:themeFill="accent1"/>
          </w:tcPr>
          <w:p w:rsidR="00CE451E" w:rsidRPr="00CE451E" w:rsidP="00CE451E">
            <w:pPr>
              <w:pStyle w:val="DisclaimerHeading"/>
              <w:keepLines/>
              <w:spacing w:before="40" w:after="40" w:line="220" w:lineRule="exact"/>
              <w:jc w:val="center"/>
              <w:rPr>
                <w:b w:val="0"/>
                <w:i/>
                <w:color w:val="013366" w:themeColor="accent1"/>
                <w:sz w:val="18"/>
                <w:szCs w:val="18"/>
              </w:rPr>
            </w:pPr>
            <w:r w:rsidRPr="00CE451E">
              <w:rPr>
                <w:b w:val="0"/>
                <w:i/>
                <w:color w:val="FFFFFF" w:themeColor="background1"/>
                <w:sz w:val="19"/>
                <w:szCs w:val="19"/>
              </w:rPr>
              <w:t>5:00 p.m. EPT deadline*</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BB6921" w:rsidP="00F05E88">
            <w:pPr>
              <w:pStyle w:val="DisclaimerHeading"/>
              <w:spacing w:before="40" w:after="40" w:line="220" w:lineRule="exact"/>
              <w:jc w:val="left"/>
              <w:rPr>
                <w:b w:val="0"/>
                <w:i w:val="0"/>
                <w:color w:val="auto"/>
                <w:sz w:val="18"/>
                <w:szCs w:val="18"/>
              </w:rPr>
            </w:pPr>
            <w:r>
              <w:rPr>
                <w:b w:val="0"/>
                <w:i w:val="0"/>
                <w:color w:val="auto"/>
                <w:sz w:val="18"/>
                <w:szCs w:val="18"/>
              </w:rPr>
              <w:t>January 29,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5C2128" w:rsidRPr="00C10A93" w:rsidP="005C2128">
            <w:pPr>
              <w:pStyle w:val="DisclaimerHeading"/>
              <w:spacing w:before="40" w:after="40" w:line="220" w:lineRule="exact"/>
              <w:jc w:val="center"/>
              <w:rPr>
                <w:b w:val="0"/>
                <w:color w:val="auto"/>
                <w:sz w:val="18"/>
                <w:szCs w:val="18"/>
              </w:rPr>
            </w:pPr>
            <w:r>
              <w:rPr>
                <w:b w:val="0"/>
                <w:color w:val="auto"/>
                <w:sz w:val="18"/>
                <w:szCs w:val="18"/>
              </w:rPr>
              <w:t>January 19, 2024</w:t>
            </w:r>
          </w:p>
        </w:tc>
        <w:tc>
          <w:tcPr>
            <w:tcW w:w="1529"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January 24,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361A88" w:rsidRPr="00361A88" w:rsidP="00361A88">
            <w:pPr>
              <w:pStyle w:val="DisclaimerHeading"/>
              <w:spacing w:before="40" w:after="40" w:line="220" w:lineRule="exact"/>
              <w:jc w:val="left"/>
              <w:rPr>
                <w:b w:val="0"/>
                <w:i w:val="0"/>
                <w:color w:val="auto"/>
                <w:sz w:val="18"/>
                <w:szCs w:val="18"/>
              </w:rPr>
            </w:pPr>
            <w:r w:rsidRPr="00361A88">
              <w:rPr>
                <w:b w:val="0"/>
                <w:i w:val="0"/>
                <w:color w:val="auto"/>
                <w:sz w:val="18"/>
                <w:szCs w:val="18"/>
              </w:rPr>
              <w:t>February 9, 2024</w:t>
            </w:r>
          </w:p>
        </w:tc>
        <w:tc>
          <w:tcPr>
            <w:tcW w:w="1980" w:type="dxa"/>
            <w:tcBorders>
              <w:top w:val="single" w:sz="4" w:space="0" w:color="auto"/>
              <w:left w:val="single" w:sz="4" w:space="0" w:color="auto"/>
              <w:bottom w:val="single" w:sz="4" w:space="0" w:color="auto"/>
              <w:right w:val="single" w:sz="4" w:space="0" w:color="auto"/>
            </w:tcBorders>
          </w:tcPr>
          <w:p w:rsidR="00361A88" w:rsidP="00361A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361A88"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361A88" w:rsidP="005C2128">
            <w:pPr>
              <w:pStyle w:val="DisclaimerHeading"/>
              <w:spacing w:before="40" w:after="40" w:line="220" w:lineRule="exact"/>
              <w:jc w:val="center"/>
              <w:rPr>
                <w:b w:val="0"/>
                <w:color w:val="auto"/>
                <w:sz w:val="18"/>
                <w:szCs w:val="18"/>
              </w:rPr>
            </w:pPr>
            <w:r>
              <w:rPr>
                <w:b w:val="0"/>
                <w:color w:val="auto"/>
                <w:sz w:val="18"/>
                <w:szCs w:val="18"/>
              </w:rPr>
              <w:t>February 1, 2024</w:t>
            </w:r>
          </w:p>
        </w:tc>
        <w:tc>
          <w:tcPr>
            <w:tcW w:w="1529" w:type="dxa"/>
            <w:tcBorders>
              <w:top w:val="single" w:sz="4" w:space="0" w:color="auto"/>
              <w:left w:val="single" w:sz="4" w:space="0" w:color="auto"/>
              <w:bottom w:val="single" w:sz="4" w:space="0" w:color="auto"/>
              <w:right w:val="single" w:sz="4" w:space="0" w:color="auto"/>
            </w:tcBorders>
          </w:tcPr>
          <w:p w:rsidR="00361A88" w:rsidP="005C2128">
            <w:pPr>
              <w:pStyle w:val="DisclaimerHeading"/>
              <w:spacing w:before="40" w:after="40" w:line="220" w:lineRule="exact"/>
              <w:jc w:val="center"/>
              <w:rPr>
                <w:b w:val="0"/>
                <w:color w:val="auto"/>
                <w:sz w:val="18"/>
                <w:szCs w:val="18"/>
              </w:rPr>
            </w:pPr>
            <w:r>
              <w:rPr>
                <w:b w:val="0"/>
                <w:color w:val="auto"/>
                <w:sz w:val="18"/>
                <w:szCs w:val="18"/>
              </w:rPr>
              <w:t>February 6,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BB6921" w:rsidP="00F05E88">
            <w:pPr>
              <w:pStyle w:val="DisclaimerHeading"/>
              <w:spacing w:before="40" w:after="40" w:line="220" w:lineRule="exact"/>
              <w:jc w:val="left"/>
              <w:rPr>
                <w:b w:val="0"/>
                <w:i w:val="0"/>
                <w:color w:val="auto"/>
                <w:sz w:val="18"/>
                <w:szCs w:val="18"/>
              </w:rPr>
            </w:pPr>
            <w:r>
              <w:rPr>
                <w:b w:val="0"/>
                <w:i w:val="0"/>
                <w:color w:val="auto"/>
                <w:sz w:val="18"/>
                <w:szCs w:val="18"/>
              </w:rPr>
              <w:t>February 23,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361A88">
            <w:pPr>
              <w:pStyle w:val="DisclaimerHeading"/>
              <w:spacing w:before="40" w:after="40" w:line="220" w:lineRule="exact"/>
              <w:rPr>
                <w:b w:val="0"/>
                <w:color w:val="auto"/>
                <w:sz w:val="18"/>
                <w:szCs w:val="18"/>
              </w:rPr>
            </w:pPr>
            <w:r>
              <w:rPr>
                <w:b w:val="0"/>
                <w:color w:val="auto"/>
                <w:sz w:val="18"/>
                <w:szCs w:val="18"/>
              </w:rPr>
              <w:t>1:00 p</w:t>
            </w:r>
            <w:r w:rsidRPr="00DE452C">
              <w:rPr>
                <w:b w:val="0"/>
                <w:color w:val="auto"/>
                <w:sz w:val="18"/>
                <w:szCs w:val="18"/>
              </w:rPr>
              <w:t xml:space="preserve">.m. – </w:t>
            </w:r>
            <w:r>
              <w:rPr>
                <w:b w:val="0"/>
                <w:color w:val="auto"/>
                <w:sz w:val="18"/>
                <w:szCs w:val="18"/>
              </w:rPr>
              <w:t>4</w:t>
            </w:r>
            <w:r w:rsidRPr="00DE452C">
              <w:rPr>
                <w:b w:val="0"/>
                <w:color w:val="auto"/>
                <w:sz w:val="18"/>
                <w:szCs w:val="18"/>
              </w:rPr>
              <w:t>:00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14, 2024</w:t>
            </w:r>
          </w:p>
        </w:tc>
        <w:tc>
          <w:tcPr>
            <w:tcW w:w="1529" w:type="dxa"/>
            <w:tcBorders>
              <w:top w:val="single" w:sz="4" w:space="0" w:color="auto"/>
              <w:left w:val="single" w:sz="4" w:space="0" w:color="auto"/>
              <w:bottom w:val="single" w:sz="4" w:space="0" w:color="auto"/>
              <w:right w:val="single" w:sz="4" w:space="0" w:color="auto"/>
            </w:tcBorders>
          </w:tcPr>
          <w:p w:rsidR="00F05E88" w:rsidRPr="00C10A93" w:rsidP="005C2128">
            <w:pPr>
              <w:pStyle w:val="DisclaimerHeading"/>
              <w:spacing w:before="40" w:after="40" w:line="220" w:lineRule="exact"/>
              <w:jc w:val="center"/>
              <w:rPr>
                <w:b w:val="0"/>
                <w:color w:val="auto"/>
                <w:sz w:val="18"/>
                <w:szCs w:val="18"/>
              </w:rPr>
            </w:pPr>
            <w:r>
              <w:rPr>
                <w:b w:val="0"/>
                <w:color w:val="auto"/>
                <w:sz w:val="18"/>
                <w:szCs w:val="18"/>
              </w:rPr>
              <w:t>February 20, 2024</w:t>
            </w:r>
          </w:p>
        </w:tc>
      </w:tr>
      <w:tr w:rsidTr="00E20EE0">
        <w:tblPrEx>
          <w:tblW w:w="0" w:type="auto"/>
          <w:tblLook w:val="04A0"/>
        </w:tblPrEx>
        <w:trPr>
          <w:trHeight w:val="331"/>
        </w:trPr>
        <w:tc>
          <w:tcPr>
            <w:tcW w:w="1530" w:type="dxa"/>
            <w:tcBorders>
              <w:top w:val="single" w:sz="4" w:space="0" w:color="auto"/>
              <w:bottom w:val="single" w:sz="4" w:space="0" w:color="auto"/>
              <w:right w:val="single" w:sz="4" w:space="0" w:color="auto"/>
            </w:tcBorders>
            <w:shd w:val="clear" w:color="auto" w:fill="E1F6FF"/>
          </w:tcPr>
          <w:p w:rsidR="00F05E88" w:rsidRPr="00D66F93" w:rsidP="00F05E88">
            <w:pPr>
              <w:pStyle w:val="DisclaimerHeading"/>
              <w:spacing w:before="40" w:after="40" w:line="220" w:lineRule="exact"/>
              <w:jc w:val="left"/>
              <w:rPr>
                <w:b w:val="0"/>
                <w:i w:val="0"/>
                <w:color w:val="auto"/>
                <w:sz w:val="18"/>
                <w:szCs w:val="18"/>
              </w:rPr>
            </w:pPr>
            <w:r w:rsidRPr="00D66F93">
              <w:rPr>
                <w:b w:val="0"/>
                <w:i w:val="0"/>
                <w:color w:val="auto"/>
                <w:sz w:val="18"/>
                <w:szCs w:val="18"/>
              </w:rPr>
              <w:t>March 22, 2024</w:t>
            </w:r>
          </w:p>
        </w:tc>
        <w:tc>
          <w:tcPr>
            <w:tcW w:w="198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bottom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14, 2024</w:t>
            </w:r>
          </w:p>
        </w:tc>
        <w:tc>
          <w:tcPr>
            <w:tcW w:w="1529" w:type="dxa"/>
            <w:tcBorders>
              <w:top w:val="single" w:sz="4" w:space="0" w:color="auto"/>
              <w:left w:val="single" w:sz="4" w:space="0" w:color="auto"/>
              <w:bottom w:val="single" w:sz="4" w:space="0" w:color="auto"/>
              <w:right w:val="single" w:sz="4" w:space="0" w:color="auto"/>
            </w:tcBorders>
          </w:tcPr>
          <w:p w:rsidR="00F05E88" w:rsidRPr="005C2128" w:rsidP="005C2128">
            <w:pPr>
              <w:pStyle w:val="DisclaimerHeading"/>
              <w:spacing w:before="40" w:after="40" w:line="220" w:lineRule="exact"/>
              <w:jc w:val="center"/>
              <w:rPr>
                <w:b w:val="0"/>
                <w:color w:val="auto"/>
                <w:sz w:val="18"/>
                <w:szCs w:val="18"/>
              </w:rPr>
            </w:pPr>
            <w:r w:rsidRPr="005C2128">
              <w:rPr>
                <w:b w:val="0"/>
                <w:color w:val="auto"/>
                <w:sz w:val="18"/>
                <w:szCs w:val="18"/>
              </w:rPr>
              <w:t>March 19, 2024</w:t>
            </w:r>
          </w:p>
        </w:tc>
      </w:tr>
      <w:tr w:rsidTr="00E20EE0">
        <w:tblPrEx>
          <w:tblW w:w="0" w:type="auto"/>
          <w:tblLook w:val="04A0"/>
        </w:tblPrEx>
        <w:trPr>
          <w:trHeight w:val="331"/>
        </w:trPr>
        <w:tc>
          <w:tcPr>
            <w:tcW w:w="1530" w:type="dxa"/>
            <w:tcBorders>
              <w:top w:val="single" w:sz="4" w:space="0" w:color="auto"/>
              <w:right w:val="single" w:sz="4" w:space="0" w:color="auto"/>
            </w:tcBorders>
            <w:shd w:val="clear" w:color="auto" w:fill="E1F6FF"/>
          </w:tcPr>
          <w:p w:rsidR="00F05E88" w:rsidRPr="00D66F93" w:rsidP="00F05E88">
            <w:pPr>
              <w:pStyle w:val="DisclaimerHeading"/>
              <w:spacing w:before="40" w:after="40" w:line="220" w:lineRule="exact"/>
              <w:jc w:val="left"/>
              <w:rPr>
                <w:b w:val="0"/>
                <w:i w:val="0"/>
                <w:color w:val="auto"/>
                <w:sz w:val="18"/>
                <w:szCs w:val="18"/>
              </w:rPr>
            </w:pPr>
            <w:r w:rsidRPr="00D66F93">
              <w:rPr>
                <w:b w:val="0"/>
                <w:i w:val="0"/>
                <w:color w:val="auto"/>
                <w:sz w:val="18"/>
                <w:szCs w:val="18"/>
              </w:rPr>
              <w:t>April 22, 2024</w:t>
            </w:r>
          </w:p>
        </w:tc>
        <w:tc>
          <w:tcPr>
            <w:tcW w:w="1980" w:type="dxa"/>
            <w:tcBorders>
              <w:top w:val="single" w:sz="4" w:space="0" w:color="auto"/>
              <w:left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sidRPr="00DE452C">
              <w:rPr>
                <w:b w:val="0"/>
                <w:color w:val="auto"/>
                <w:sz w:val="18"/>
                <w:szCs w:val="18"/>
              </w:rPr>
              <w:t>9:00 a.m. – 12:00 p.m.</w:t>
            </w:r>
          </w:p>
        </w:tc>
        <w:tc>
          <w:tcPr>
            <w:tcW w:w="2430" w:type="dxa"/>
            <w:tcBorders>
              <w:top w:val="single" w:sz="4" w:space="0" w:color="auto"/>
              <w:left w:val="single" w:sz="4" w:space="0" w:color="auto"/>
              <w:right w:val="single" w:sz="4" w:space="0" w:color="auto"/>
            </w:tcBorders>
          </w:tcPr>
          <w:p w:rsidR="00F05E88" w:rsidRPr="00C10A93" w:rsidP="00F05E88">
            <w:pPr>
              <w:pStyle w:val="DisclaimerHeading"/>
              <w:spacing w:before="40" w:after="40" w:line="220" w:lineRule="exact"/>
              <w:rPr>
                <w:b w:val="0"/>
                <w:color w:val="auto"/>
                <w:sz w:val="18"/>
                <w:szCs w:val="18"/>
              </w:rPr>
            </w:pPr>
            <w:r>
              <w:rPr>
                <w:b w:val="0"/>
                <w:color w:val="auto"/>
                <w:sz w:val="18"/>
                <w:szCs w:val="18"/>
              </w:rPr>
              <w:t>Webex</w:t>
            </w:r>
          </w:p>
        </w:tc>
        <w:tc>
          <w:tcPr>
            <w:tcW w:w="1816" w:type="dxa"/>
            <w:tcBorders>
              <w:top w:val="single" w:sz="4" w:space="0" w:color="auto"/>
              <w:left w:val="single" w:sz="4" w:space="0" w:color="auto"/>
              <w:right w:val="single" w:sz="4" w:space="0" w:color="auto"/>
            </w:tcBorders>
          </w:tcPr>
          <w:p w:rsidR="00F05E88" w:rsidRPr="006978BB" w:rsidP="005C2128">
            <w:pPr>
              <w:pStyle w:val="DisclaimerHeading"/>
              <w:spacing w:before="40" w:after="40" w:line="220" w:lineRule="exact"/>
              <w:jc w:val="center"/>
              <w:rPr>
                <w:b w:val="0"/>
                <w:color w:val="auto"/>
                <w:sz w:val="18"/>
                <w:szCs w:val="18"/>
              </w:rPr>
            </w:pPr>
            <w:r w:rsidRPr="006978BB">
              <w:rPr>
                <w:b w:val="0"/>
                <w:color w:val="auto"/>
                <w:sz w:val="18"/>
                <w:szCs w:val="18"/>
              </w:rPr>
              <w:t>April 12, 2024</w:t>
            </w:r>
          </w:p>
        </w:tc>
        <w:tc>
          <w:tcPr>
            <w:tcW w:w="1529" w:type="dxa"/>
            <w:tcBorders>
              <w:top w:val="single" w:sz="4" w:space="0" w:color="auto"/>
              <w:left w:val="single" w:sz="4" w:space="0" w:color="auto"/>
              <w:right w:val="single" w:sz="4" w:space="0" w:color="auto"/>
            </w:tcBorders>
          </w:tcPr>
          <w:p w:rsidR="00F05E88" w:rsidRPr="006978BB" w:rsidP="005C2128">
            <w:pPr>
              <w:pStyle w:val="DisclaimerHeading"/>
              <w:spacing w:before="40" w:after="40" w:line="220" w:lineRule="exact"/>
              <w:jc w:val="center"/>
              <w:rPr>
                <w:b w:val="0"/>
                <w:color w:val="auto"/>
                <w:sz w:val="18"/>
                <w:szCs w:val="18"/>
              </w:rPr>
            </w:pPr>
            <w:r w:rsidRPr="006978BB">
              <w:rPr>
                <w:b w:val="0"/>
                <w:color w:val="auto"/>
                <w:sz w:val="18"/>
                <w:szCs w:val="18"/>
              </w:rPr>
              <w:t>April 17, 2024</w:t>
            </w:r>
          </w:p>
        </w:tc>
      </w:tr>
    </w:tbl>
    <w:p w:rsidR="003C3320" w:rsidP="00CE451E">
      <w:pPr>
        <w:pStyle w:val="DisclaimerBodyCopy"/>
        <w:keepLines/>
        <w:spacing w:before="60"/>
        <w:jc w:val="right"/>
      </w:pPr>
      <w:r>
        <w:rPr>
          <w:color w:val="1F497D"/>
        </w:rPr>
        <w:t>*Materials received after 12:00 p.m. EPT are not guaranteed timely posting by 5:00 p.m. EPT on the same day.</w:t>
      </w:r>
    </w:p>
    <w:p w:rsidR="00CE451E">
      <w:pPr>
        <w:rPr>
          <w:rFonts w:ascii="Arial Narrow" w:eastAsia="Times New Roman" w:hAnsi="Arial Narrow" w:cs="Times New Roman"/>
          <w:sz w:val="16"/>
          <w:szCs w:val="16"/>
        </w:rPr>
      </w:pPr>
      <w:r>
        <w:br w:type="page"/>
      </w:r>
    </w:p>
    <w:p w:rsidR="00B62597" w:rsidP="00337321">
      <w:pPr>
        <w:pStyle w:val="Author"/>
      </w:pPr>
      <w:r>
        <w:t xml:space="preserve">Author: </w:t>
      </w:r>
      <w:r w:rsidR="00361A88">
        <w:t>Rebecca Gerber</w:t>
      </w:r>
    </w:p>
    <w:p w:rsidR="00A317A9" w:rsidRPr="00B62597" w:rsidP="00337321">
      <w:pPr>
        <w:pStyle w:val="Author"/>
      </w:pPr>
    </w:p>
    <w:p w:rsidR="00B62597" w:rsidRPr="00B62597" w:rsidP="00DB29E9">
      <w:pPr>
        <w:pStyle w:val="DisclaimerHeading"/>
      </w:pPr>
      <w:r>
        <w:t>Anti</w:t>
      </w:r>
      <w:r w:rsidRPr="00B62597">
        <w:t>trust:</w:t>
      </w:r>
    </w:p>
    <w:p w:rsidR="00B62597" w:rsidRPr="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4F3D57" w:rsidRPr="00B62597" w:rsidP="004F3D57">
      <w:pPr>
        <w:pStyle w:val="DisclaimerHeading"/>
        <w:spacing w:before="240"/>
      </w:pPr>
      <w:r w:rsidRPr="00B62597">
        <w:t>Code of Conduct:</w:t>
      </w:r>
    </w:p>
    <w:p w:rsidR="004F3D57" w:rsidRPr="00B62597" w:rsidP="004F3D57">
      <w:pPr>
        <w:pStyle w:val="DisclosureBody"/>
      </w:pPr>
      <w:r w:rsidRPr="00B62597">
        <w:t>As a mandatory condition of attendance at today's meeting, attendees agree to adhere to the Code of Conduct as detailed in PJM Manual M-34 section 4.5, including, but not limited to, participants' responsibilities and rules regarding the dissemination of meeting discussion and materials.</w:t>
      </w:r>
      <w:r w:rsidRPr="00FA5955">
        <w:t xml:space="preserve"> Expectations for participating in PJM activities are further detailed in the </w:t>
      </w:r>
      <w:hyperlink r:id="rId4" w:history="1">
        <w:r w:rsidRPr="00FA5955">
          <w:rPr>
            <w:rStyle w:val="Hyperlink"/>
          </w:rPr>
          <w:t>PJM Code of Conduct</w:t>
        </w:r>
      </w:hyperlink>
      <w:r w:rsidRPr="00FA5955">
        <w:t>.</w:t>
      </w:r>
    </w:p>
    <w:p w:rsidR="00B62597" w:rsidRPr="00B62597" w:rsidP="004F3D57">
      <w:pPr>
        <w:pStyle w:val="DisclaimerHeading"/>
        <w:spacing w:before="240"/>
      </w:pPr>
      <w:r w:rsidRPr="00B62597">
        <w:t xml:space="preserve">Public Meetings/Media Participation: </w:t>
      </w:r>
    </w:p>
    <w:p w:rsidR="00DE34CF"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Pr="00E1605D" w:rsidR="000333FF">
        <w:t>PJM may create audio, video or online recordings of stakeholder meetings for internal and training purposes, and your participation at such meetings indicates your consent to the same.</w:t>
      </w:r>
    </w:p>
    <w:p w:rsidR="00027F49" w:rsidP="00027F49">
      <w:pPr>
        <w:pStyle w:val="DisclaimerHeading"/>
        <w:spacing w:before="240"/>
      </w:pPr>
      <w:r>
        <w:t xml:space="preserve">Participant Identification in </w:t>
      </w:r>
      <w:r w:rsidR="00711249">
        <w:t>Webex</w:t>
      </w:r>
      <w:r>
        <w:t>:</w:t>
      </w:r>
    </w:p>
    <w:p w:rsidR="00027F49" w:rsidP="00027F49">
      <w:pPr>
        <w:pStyle w:val="DisclaimerBodyCopy"/>
      </w:pPr>
      <w:r>
        <w:t xml:space="preserve">When logging into the </w:t>
      </w:r>
      <w:r w:rsidR="00711249">
        <w:t>Webex</w:t>
      </w:r>
      <w:r>
        <w:t xml:space="preserve"> desktop client, please enter your real first and last name as well as a valid email address. Be sure to select the “call me” option.</w:t>
      </w:r>
    </w:p>
    <w:p w:rsidR="00027F49" w:rsidP="00027F49">
      <w:pPr>
        <w:pStyle w:val="DisclaimerBodyCopy"/>
      </w:pPr>
      <w:r>
        <w:t xml:space="preserve">PJM support staff continuously monitors </w:t>
      </w:r>
      <w:r w:rsidR="00711249">
        <w:t>Webex</w:t>
      </w:r>
      <w:r>
        <w:t xml:space="preserve"> connections during stakeholder meetings. Anonymous users or those using false usernames or emails will be dropped from the teleconference.</w:t>
      </w:r>
    </w:p>
    <w:p w:rsidR="00D827A6" w:rsidRPr="00D827A6" w:rsidP="00D827A6">
      <w:pPr>
        <w:pStyle w:val="DisclaimerHeading"/>
        <w:spacing w:before="240"/>
      </w:pPr>
      <w:r w:rsidRPr="00D827A6">
        <w:t xml:space="preserve">Participant Use of </w:t>
      </w:r>
      <w:r w:rsidRPr="00D827A6">
        <w:t>Webex</w:t>
      </w:r>
      <w:r w:rsidRPr="00D827A6">
        <w:t xml:space="preserve"> Chat:</w:t>
      </w:r>
    </w:p>
    <w:p w:rsidR="00D827A6" w:rsidP="00D827A6">
      <w:pPr>
        <w:pStyle w:val="DisclaimerBodyCopy"/>
      </w:pPr>
      <w:r>
        <w:t xml:space="preserve">The use of the </w:t>
      </w:r>
      <w:r>
        <w:t>Webex</w:t>
      </w:r>
      <w:r>
        <w:t xml:space="preserve"> chat feature during meetings shall be primarily reserved for administrative and logistical purposes, such as managing a question or comment queue, noting technical difficulties, and meeting support or management purposes. Utilizing </w:t>
      </w:r>
      <w:r>
        <w:t>Webex</w:t>
      </w:r>
      <w:r>
        <w:t xml:space="preserve"> chat for any other commentary shoul</w:t>
      </w:r>
      <w:r w:rsidR="00A36FEA">
        <w:t>d be limited to short phrases. </w:t>
      </w:r>
      <w:r>
        <w:t xml:space="preserve">Detailed commentary or substantive dialog shall be shared orally by entering the speaker queue.  </w:t>
      </w:r>
    </w:p>
    <w:p w:rsidR="00D827A6" w:rsidP="00027F49">
      <w:pPr>
        <w:pStyle w:val="DisclaimerBodyCopy"/>
      </w:pPr>
    </w:p>
    <w:p w:rsidR="00027F49" w:rsidP="00027F49">
      <w:pPr>
        <w:pStyle w:val="DisclosureBody"/>
      </w:pPr>
    </w:p>
    <w:p w:rsidR="00027F49" w:rsidP="00027F49">
      <w:pPr>
        <w:pStyle w:val="DisclaimerHeading"/>
      </w:pPr>
      <w:r w:rsidRPr="006024A0">
        <w:rPr>
          <w:noProof/>
        </w:rPr>
        <w:drawing>
          <wp:inline distT="0" distB="0" distL="0" distR="0">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5"/>
                    <a:stretch>
                      <a:fillRect/>
                    </a:stretch>
                  </pic:blipFill>
                  <pic:spPr>
                    <a:xfrm>
                      <a:off x="0" y="0"/>
                      <a:ext cx="5943600" cy="983615"/>
                    </a:xfrm>
                    <a:prstGeom prst="rect">
                      <a:avLst/>
                    </a:prstGeom>
                  </pic:spPr>
                </pic:pic>
              </a:graphicData>
            </a:graphic>
          </wp:inline>
        </w:drawing>
      </w:r>
    </w:p>
    <w:p w:rsidR="00027F49" w:rsidP="00027F49">
      <w:pPr>
        <w:pStyle w:val="DisclaimerHeading"/>
      </w:pPr>
    </w:p>
    <w:p w:rsidR="00027F49" w:rsidRPr="009C15C4" w:rsidP="00027F49">
      <w:r w:rsidRPr="006024A0">
        <w:rPr>
          <w:noProof/>
        </w:rPr>
        <w:drawing>
          <wp:inline distT="0" distB="0" distL="0" distR="0">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xmlns:r="http://schemas.openxmlformats.org/officeDocument/2006/relationships" r:embed="rId6"/>
                    <a:stretch>
                      <a:fillRect/>
                    </a:stretch>
                  </pic:blipFill>
                  <pic:spPr>
                    <a:xfrm>
                      <a:off x="0" y="0"/>
                      <a:ext cx="5943600" cy="1217930"/>
                    </a:xfrm>
                    <a:prstGeom prst="rect">
                      <a:avLst/>
                    </a:prstGeom>
                  </pic:spPr>
                </pic:pic>
              </a:graphicData>
            </a:graphic>
          </wp:inline>
        </w:drawing>
      </w:r>
    </w:p>
    <w:p w:rsidR="00027F49" w:rsidRPr="009C15C4" w:rsidP="00027F49"/>
    <w:p w:rsidR="0057441E" w:rsidRPr="009C15C4" w:rsidP="009C15C4">
      <w:r>
        <w:rPr>
          <w:noProof/>
        </w:rPr>
        <mc:AlternateContent>
          <mc:Choice Requires="wps">
            <w:drawing>
              <wp:anchor distT="0" distB="0" distL="114300" distR="114300" simplePos="0" relativeHeight="251658240" behindDoc="0" locked="0" layoutInCell="1" allowOverlap="1">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xmlns:wps="http://schemas.microsoft.com/office/word/2010/wordprocessingShape">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5" type="#_x0000_t202" style="width:468pt;height:43.5pt;margin-top:94.1pt;margin-left:0.75pt;mso-height-percent:0;mso-height-relative:margin;mso-width-percent:0;mso-width-relative:margin;mso-wrap-distance-bottom:0;mso-wrap-distance-left:9pt;mso-wrap-distance-right:9pt;mso-wrap-distance-top:0;mso-wrap-style:square;position:absolute;visibility:visible;v-text-anchor:top;z-index:251659264" fillcolor="#f2f2f2" stroked="f" strokeweight="0.5pt">
                <v:textbox>
                  <w:txbxContent>
                    <w:p w:rsidR="009C15C4" w:rsidRPr="0025139E"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7" w:history="1">
                        <w:r w:rsidRPr="007703B4" w:rsid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8"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Sect="001678E8">
      <w:headerReference w:type="default" r:id="rId9"/>
      <w:footerReference w:type="even" r:id="rId10"/>
      <w:footerReference w:type="default" r:id="rId11"/>
      <w:pgSz w:w="12240" w:h="15840"/>
      <w:pgMar w:top="2358" w:right="1440" w:bottom="1260" w:left="1440" w:header="720" w:footer="669"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3C17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2A3EF9">
      <w:rPr>
        <w:rStyle w:val="PageNumber"/>
        <w:noProof/>
      </w:rPr>
      <w:t>1</w:t>
    </w:r>
    <w:r>
      <w:rPr>
        <w:rStyle w:val="PageNumber"/>
      </w:rPr>
      <w:fldChar w:fldCharType="end"/>
    </w:r>
  </w:p>
  <w:bookmarkStart w:id="3" w:name="OLE_LINK1"/>
  <w:p w:rsidR="00B62597" w:rsidRPr="001678E8">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2700">
                        <a:solidFill>
                          <a:srgbClr val="013C59"/>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2050" style="mso-height-percent:0;mso-height-relative:page;mso-width-percent:0;mso-width-relative:page;mso-wrap-distance-bottom:0;mso-wrap-distance-left:9pt;mso-wrap-distance-right:9pt;mso-wrap-distance-top:0;mso-wrap-style:square;position:absolute;visibility:visible;z-index:251659264" from="0,-7.4pt" to="468pt,-7.4pt" o:allowincell="f" strokecolor="#013c59" strokeweight="1pt"/>
          </w:pict>
        </mc:Fallback>
      </mc:AlternateContent>
    </w:r>
    <w:r w:rsidRPr="00DB29E9" w:rsidR="00C439EC">
      <w:rPr>
        <w:rFonts w:ascii="Arial Narrow" w:hAnsi="Arial Narrow"/>
        <w:sz w:val="20"/>
      </w:rPr>
      <w:t>PJM</w:t>
    </w:r>
    <w:r w:rsidR="001678E8">
      <w:rPr>
        <w:rFonts w:ascii="Arial Narrow" w:hAnsi="Arial Narrow"/>
        <w:sz w:val="20"/>
      </w:rPr>
      <w:t xml:space="preserve"> </w:t>
    </w:r>
    <w:r w:rsidRPr="00DB29E9" w:rsidR="00C439EC">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361A88">
      <w:rPr>
        <w:rFonts w:ascii="Arial Narrow" w:hAnsi="Arial Narrow"/>
        <w:sz w:val="20"/>
      </w:rPr>
      <w:t>4</w:t>
    </w:r>
    <w:r w:rsidR="00991528">
      <w:rPr>
        <w:rFonts w:ascii="Arial Narrow" w:hAnsi="Arial Narrow"/>
        <w:sz w:val="20"/>
      </w:rPr>
      <w:tab/>
    </w:r>
    <w:r w:rsidR="000232DF">
      <w:rPr>
        <w:rFonts w:ascii="Arial Narrow" w:hAnsi="Arial Narrow"/>
        <w:sz w:val="20"/>
      </w:rPr>
      <w:t xml:space="preserve">For Public Use / </w:t>
    </w:r>
    <w:r w:rsidRPr="00856DF8" w:rsidR="000232DF">
      <w:rPr>
        <w:rFonts w:ascii="Arial Narrow" w:hAnsi="Arial Narrow"/>
        <w:b/>
        <w:sz w:val="20"/>
      </w:rPr>
      <w:t>Confidential:</w:t>
    </w:r>
    <w:r w:rsidR="000232DF">
      <w:rPr>
        <w:rFonts w:ascii="Arial Narrow" w:hAnsi="Arial Narrow"/>
        <w:sz w:val="20"/>
      </w:rPr>
      <w:t xml:space="preserve"> Limited External Use [</w:t>
    </w:r>
    <w:r w:rsidR="00F05E88">
      <w:rPr>
        <w:rFonts w:ascii="Arial Narrow" w:hAnsi="Arial Narrow"/>
        <w:sz w:val="20"/>
      </w:rPr>
      <w:t>Interconnection Process Subcommittee</w:t>
    </w:r>
    <w:r w:rsidR="000232DF">
      <w:rPr>
        <w:rFonts w:ascii="Arial Narrow" w:hAnsi="Arial Narrow"/>
        <w:sz w:val="20"/>
      </w:rPr>
      <w:t>]</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C17E2" w:rsidRPr="00711249" w:rsidP="00711249">
    <w:pPr>
      <w:pStyle w:val="PostingDate"/>
      <w:rPr>
        <w:sz w:val="16"/>
      </w:rPr>
    </w:pPr>
    <w:r w:rsidRPr="00711249">
      <mc:AlternateContent>
        <mc:Choice Requires="wps">
          <w:drawing>
            <wp:anchor distT="0" distB="0" distL="114300" distR="114300" simplePos="0" relativeHeight="251659264" behindDoc="0" locked="0" layoutInCell="1" allowOverlap="1">
              <wp:simplePos x="0" y="0"/>
              <wp:positionH relativeFrom="column">
                <wp:posOffset>-600075</wp:posOffset>
              </wp:positionH>
              <wp:positionV relativeFrom="paragraph">
                <wp:posOffset>47625</wp:posOffset>
              </wp:positionV>
              <wp:extent cx="7210425" cy="1549019"/>
              <wp:effectExtent l="0" t="0" r="0" b="3175"/>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210425" cy="1549019"/>
                      </a:xfrm>
                      <a:prstGeom prst="rect">
                        <a:avLst/>
                      </a:prstGeom>
                      <a:noFill/>
                      <a:ln w="9525">
                        <a:noFill/>
                        <a:miter lim="800000"/>
                        <a:headEnd/>
                        <a:tailEnd/>
                      </a:ln>
                    </wps:spPr>
                    <wps:txbx>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567.75pt;height:110.55pt;margin-top:3.75pt;margin-left:-47.25pt;mso-height-percent:200;mso-height-relative:margin;mso-width-percent:0;mso-width-relative:margin;mso-wrap-distance-bottom:0;mso-wrap-distance-left:9pt;mso-wrap-distance-right:9pt;mso-wrap-distance-top:0;mso-wrap-style:square;position:absolute;visibility:visible;v-text-anchor:top;z-index:251660288" filled="f" stroked="f">
              <v:textbox style="mso-fit-shape-to-text:t">
                <w:txbxContent>
                  <w:p w:rsidR="00712CAA" w:rsidRPr="001D3B68"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Pr="00711249" w:rsidR="00F4190F">
      <w:drawing>
        <wp:anchor distT="0" distB="0" distL="114300" distR="114300" simplePos="0" relativeHeight="251658240" behindDoc="0" locked="0" layoutInCell="1" allowOverlap="1">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_final.bmp"/>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rcRect l="12981" t="42203" r="7372" b="10771"/>
                  <a:stretch>
                    <a:fillRect/>
                  </a:stretch>
                </pic:blipFill>
                <pic:spPr bwMode="auto">
                  <a:xfrm>
                    <a:off x="0" y="0"/>
                    <a:ext cx="7210425" cy="1130935"/>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5E88">
      <w:t xml:space="preserve">As of </w:t>
    </w:r>
    <w:r w:rsidR="006D7C71">
      <w:t>January 24</w:t>
    </w:r>
    <w:r w:rsidR="00361A88">
      <w:t>, 2024</w:t>
    </w:r>
    <w:r w:rsidR="00A56D57">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CE122B"/>
    <w:multiLevelType w:val="hybridMultilevel"/>
    <w:tmpl w:val="83D61B80"/>
    <w:lvl w:ilvl="0">
      <w:start w:val="1"/>
      <w:numFmt w:val="upperLetter"/>
      <w:pStyle w:val="ListedItem"/>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03130C1"/>
    <w:multiLevelType w:val="hybridMultilevel"/>
    <w:tmpl w:val="1BD885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2B9A768A"/>
    <w:multiLevelType w:val="hybridMultilevel"/>
    <w:tmpl w:val="D3B8ED30"/>
    <w:lvl w:ilvl="0">
      <w:start w:val="1"/>
      <w:numFmt w:val="upperLetter"/>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1E86087"/>
    <w:multiLevelType w:val="hybridMultilevel"/>
    <w:tmpl w:val="2C9CB742"/>
    <w:lvl w:ilvl="0">
      <w:start w:val="1"/>
      <w:numFmt w:val="decimal"/>
      <w:pStyle w:val="ListSubhead1"/>
      <w:lvlText w:val="%1."/>
      <w:lvlJc w:val="left"/>
      <w:pPr>
        <w:ind w:left="9720" w:hanging="360"/>
      </w:pPr>
      <w:rPr>
        <w:b w:val="0"/>
      </w:rPr>
    </w:lvl>
    <w:lvl w:ilvl="1">
      <w:start w:val="1"/>
      <w:numFmt w:val="lowerLetter"/>
      <w:lvlText w:val="%2."/>
      <w:lvlJc w:val="left"/>
      <w:pPr>
        <w:ind w:left="432" w:hanging="72"/>
      </w:pPr>
      <w:rPr>
        <w:rFonts w:hint="default"/>
      </w:rPr>
    </w:lvl>
    <w:lvl w:ilvl="2" w:tentative="1">
      <w:start w:val="1"/>
      <w:numFmt w:val="lowerRoman"/>
      <w:lvlText w:val="%3."/>
      <w:lvlJc w:val="right"/>
      <w:pPr>
        <w:ind w:left="11160" w:hanging="180"/>
      </w:pPr>
    </w:lvl>
    <w:lvl w:ilvl="3" w:tentative="1">
      <w:start w:val="1"/>
      <w:numFmt w:val="decimal"/>
      <w:lvlText w:val="%4."/>
      <w:lvlJc w:val="left"/>
      <w:pPr>
        <w:ind w:left="11880" w:hanging="360"/>
      </w:pPr>
    </w:lvl>
    <w:lvl w:ilvl="4" w:tentative="1">
      <w:start w:val="1"/>
      <w:numFmt w:val="lowerLetter"/>
      <w:lvlText w:val="%5."/>
      <w:lvlJc w:val="left"/>
      <w:pPr>
        <w:ind w:left="12600" w:hanging="360"/>
      </w:pPr>
    </w:lvl>
    <w:lvl w:ilvl="5" w:tentative="1">
      <w:start w:val="1"/>
      <w:numFmt w:val="lowerRoman"/>
      <w:lvlText w:val="%6."/>
      <w:lvlJc w:val="right"/>
      <w:pPr>
        <w:ind w:left="13320" w:hanging="180"/>
      </w:pPr>
    </w:lvl>
    <w:lvl w:ilvl="6" w:tentative="1">
      <w:start w:val="1"/>
      <w:numFmt w:val="decimal"/>
      <w:lvlText w:val="%7."/>
      <w:lvlJc w:val="left"/>
      <w:pPr>
        <w:ind w:left="14040" w:hanging="360"/>
      </w:pPr>
    </w:lvl>
    <w:lvl w:ilvl="7" w:tentative="1">
      <w:start w:val="1"/>
      <w:numFmt w:val="lowerLetter"/>
      <w:lvlText w:val="%8."/>
      <w:lvlJc w:val="left"/>
      <w:pPr>
        <w:ind w:left="14760" w:hanging="360"/>
      </w:pPr>
    </w:lvl>
    <w:lvl w:ilvl="8"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78EE1E60"/>
    <w:multiLevelType w:val="hybridMultilevel"/>
    <w:tmpl w:val="E8ACA25E"/>
    <w:lvl w:ilvl="0">
      <w:start w:val="1"/>
      <w:numFmt w:val="upperLetter"/>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BC8"/>
    <w:rsid w:val="00010057"/>
    <w:rsid w:val="000232DF"/>
    <w:rsid w:val="00027F49"/>
    <w:rsid w:val="000333FF"/>
    <w:rsid w:val="0006798D"/>
    <w:rsid w:val="00092135"/>
    <w:rsid w:val="00096230"/>
    <w:rsid w:val="000E4C64"/>
    <w:rsid w:val="000F5C3D"/>
    <w:rsid w:val="00117AF9"/>
    <w:rsid w:val="00121F58"/>
    <w:rsid w:val="001502FA"/>
    <w:rsid w:val="001678E8"/>
    <w:rsid w:val="00170E02"/>
    <w:rsid w:val="0017735C"/>
    <w:rsid w:val="001B2242"/>
    <w:rsid w:val="001C0CC0"/>
    <w:rsid w:val="001D3B68"/>
    <w:rsid w:val="001D5A5C"/>
    <w:rsid w:val="00200A1B"/>
    <w:rsid w:val="002113BD"/>
    <w:rsid w:val="0025139E"/>
    <w:rsid w:val="00283739"/>
    <w:rsid w:val="002A3EF9"/>
    <w:rsid w:val="002B2CB6"/>
    <w:rsid w:val="002B2F98"/>
    <w:rsid w:val="002C6057"/>
    <w:rsid w:val="00305238"/>
    <w:rsid w:val="00323DE3"/>
    <w:rsid w:val="003251CE"/>
    <w:rsid w:val="00337321"/>
    <w:rsid w:val="00361A88"/>
    <w:rsid w:val="00394850"/>
    <w:rsid w:val="003B55E1"/>
    <w:rsid w:val="003C17E2"/>
    <w:rsid w:val="003C3320"/>
    <w:rsid w:val="003D7E5C"/>
    <w:rsid w:val="003E7A73"/>
    <w:rsid w:val="003F046E"/>
    <w:rsid w:val="0046043F"/>
    <w:rsid w:val="00491490"/>
    <w:rsid w:val="00493584"/>
    <w:rsid w:val="00494494"/>
    <w:rsid w:val="004969FA"/>
    <w:rsid w:val="004F3D57"/>
    <w:rsid w:val="005033C1"/>
    <w:rsid w:val="00527104"/>
    <w:rsid w:val="00564DEE"/>
    <w:rsid w:val="005675A0"/>
    <w:rsid w:val="0057441E"/>
    <w:rsid w:val="005A5D0D"/>
    <w:rsid w:val="005B6804"/>
    <w:rsid w:val="005C2128"/>
    <w:rsid w:val="005C4B51"/>
    <w:rsid w:val="005D225E"/>
    <w:rsid w:val="005D6D05"/>
    <w:rsid w:val="006024A0"/>
    <w:rsid w:val="00602967"/>
    <w:rsid w:val="00606F11"/>
    <w:rsid w:val="00690003"/>
    <w:rsid w:val="00690A54"/>
    <w:rsid w:val="006978BB"/>
    <w:rsid w:val="006C738F"/>
    <w:rsid w:val="006D7C71"/>
    <w:rsid w:val="006F7A52"/>
    <w:rsid w:val="00711249"/>
    <w:rsid w:val="00712CAA"/>
    <w:rsid w:val="00716A8B"/>
    <w:rsid w:val="00730F76"/>
    <w:rsid w:val="00744A45"/>
    <w:rsid w:val="0075340F"/>
    <w:rsid w:val="00754C6D"/>
    <w:rsid w:val="00755096"/>
    <w:rsid w:val="007703B4"/>
    <w:rsid w:val="00777623"/>
    <w:rsid w:val="007A34A3"/>
    <w:rsid w:val="007C2954"/>
    <w:rsid w:val="007D4F70"/>
    <w:rsid w:val="007E7CAB"/>
    <w:rsid w:val="00813B57"/>
    <w:rsid w:val="00837B12"/>
    <w:rsid w:val="00841282"/>
    <w:rsid w:val="008552A3"/>
    <w:rsid w:val="00856DF8"/>
    <w:rsid w:val="00882652"/>
    <w:rsid w:val="008B3B5F"/>
    <w:rsid w:val="008C58A0"/>
    <w:rsid w:val="00917386"/>
    <w:rsid w:val="0095194C"/>
    <w:rsid w:val="0097702E"/>
    <w:rsid w:val="00991528"/>
    <w:rsid w:val="009A3BC8"/>
    <w:rsid w:val="009A5430"/>
    <w:rsid w:val="009C15C4"/>
    <w:rsid w:val="009C7250"/>
    <w:rsid w:val="009F53F9"/>
    <w:rsid w:val="00A05391"/>
    <w:rsid w:val="00A317A9"/>
    <w:rsid w:val="00A36FEA"/>
    <w:rsid w:val="00A41149"/>
    <w:rsid w:val="00A56D57"/>
    <w:rsid w:val="00A6110D"/>
    <w:rsid w:val="00A931C3"/>
    <w:rsid w:val="00AC2247"/>
    <w:rsid w:val="00B16D95"/>
    <w:rsid w:val="00B20316"/>
    <w:rsid w:val="00B34E3C"/>
    <w:rsid w:val="00B42FAE"/>
    <w:rsid w:val="00B62597"/>
    <w:rsid w:val="00BA05E5"/>
    <w:rsid w:val="00BA6146"/>
    <w:rsid w:val="00BB531B"/>
    <w:rsid w:val="00BB6921"/>
    <w:rsid w:val="00BF331B"/>
    <w:rsid w:val="00C10A93"/>
    <w:rsid w:val="00C439EC"/>
    <w:rsid w:val="00C5307B"/>
    <w:rsid w:val="00C72168"/>
    <w:rsid w:val="00C757F4"/>
    <w:rsid w:val="00C75A9D"/>
    <w:rsid w:val="00CA49B9"/>
    <w:rsid w:val="00CB19DE"/>
    <w:rsid w:val="00CB475B"/>
    <w:rsid w:val="00CC1B47"/>
    <w:rsid w:val="00CE451E"/>
    <w:rsid w:val="00D06EC8"/>
    <w:rsid w:val="00D136EA"/>
    <w:rsid w:val="00D251ED"/>
    <w:rsid w:val="00D66F93"/>
    <w:rsid w:val="00D674D9"/>
    <w:rsid w:val="00D729E2"/>
    <w:rsid w:val="00D827A6"/>
    <w:rsid w:val="00D831E4"/>
    <w:rsid w:val="00D8434F"/>
    <w:rsid w:val="00D95949"/>
    <w:rsid w:val="00DA23DE"/>
    <w:rsid w:val="00DB29E9"/>
    <w:rsid w:val="00DE34CF"/>
    <w:rsid w:val="00DE452C"/>
    <w:rsid w:val="00DE77B9"/>
    <w:rsid w:val="00DF1112"/>
    <w:rsid w:val="00E1605D"/>
    <w:rsid w:val="00E20EE0"/>
    <w:rsid w:val="00E32B6B"/>
    <w:rsid w:val="00E5387A"/>
    <w:rsid w:val="00E55E84"/>
    <w:rsid w:val="00EB68B0"/>
    <w:rsid w:val="00F05E88"/>
    <w:rsid w:val="00F4190F"/>
    <w:rsid w:val="00F5077C"/>
    <w:rsid w:val="00FA5955"/>
    <w:rsid w:val="00FB1739"/>
    <w:rsid w:val="00FC2B9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58649B1"/>
  <w15:docId w15:val="{4918F1CC-D043-440D-B2FB-6FB06C3E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link w:val="NoListBodyChar"/>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link w:val="AttendeesListChar"/>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 w:type="paragraph" w:customStyle="1" w:styleId="TableHeading">
    <w:name w:val="Table_Heading"/>
    <w:basedOn w:val="Normal"/>
    <w:link w:val="TableHeadingChar"/>
    <w:qFormat/>
    <w:rsid w:val="003C3320"/>
    <w:pPr>
      <w:keepNext/>
      <w:spacing w:after="0" w:line="240" w:lineRule="auto"/>
      <w:ind w:left="-58"/>
      <w:outlineLvl w:val="0"/>
    </w:pPr>
    <w:rPr>
      <w:rFonts w:ascii="Arial Narrow" w:eastAsia="Times New Roman" w:hAnsi="Arial Narrow" w:cs="Times New Roman"/>
      <w:b/>
      <w:color w:val="FFFFFF" w:themeColor="background1"/>
      <w:kern w:val="28"/>
      <w:sz w:val="24"/>
      <w:szCs w:val="24"/>
    </w:rPr>
  </w:style>
  <w:style w:type="character" w:customStyle="1" w:styleId="TableHeadingChar">
    <w:name w:val="Table_Heading Char"/>
    <w:basedOn w:val="DefaultParagraphFont"/>
    <w:link w:val="TableHeading"/>
    <w:rsid w:val="003C3320"/>
    <w:rPr>
      <w:rFonts w:ascii="Arial Narrow" w:eastAsia="Times New Roman" w:hAnsi="Arial Narrow" w:cs="Times New Roman"/>
      <w:b/>
      <w:color w:val="FFFFFF" w:themeColor="background1"/>
      <w:kern w:val="28"/>
      <w:sz w:val="24"/>
      <w:szCs w:val="24"/>
    </w:rPr>
  </w:style>
  <w:style w:type="table" w:styleId="GridTable2Accent5">
    <w:name w:val="Grid Table 2 Accent 5"/>
    <w:basedOn w:val="TableNormal"/>
    <w:uiPriority w:val="47"/>
    <w:rsid w:val="003C3320"/>
    <w:pPr>
      <w:spacing w:after="0" w:line="240" w:lineRule="auto"/>
    </w:pPr>
    <w:tblPr>
      <w:tblStyleRowBandSize w:val="1"/>
      <w:tblStyleColBandSize w:val="1"/>
      <w:tblBorders>
        <w:top w:val="single" w:sz="2" w:space="0" w:color="B2B2B2" w:themeColor="accent5" w:themeTint="99"/>
        <w:bottom w:val="single" w:sz="2" w:space="0" w:color="B2B2B2" w:themeColor="accent5" w:themeTint="99"/>
        <w:insideH w:val="single" w:sz="2" w:space="0" w:color="B2B2B2" w:themeColor="accent5" w:themeTint="99"/>
        <w:insideV w:val="single" w:sz="2" w:space="0" w:color="B2B2B2" w:themeColor="accent5" w:themeTint="99"/>
      </w:tblBorders>
    </w:tblPr>
    <w:tblStylePr w:type="firstRow">
      <w:rPr>
        <w:b/>
        <w:bCs/>
      </w:rPr>
      <w:tblPr/>
      <w:tcPr>
        <w:tcBorders>
          <w:top w:val="nil"/>
          <w:bottom w:val="single" w:sz="12" w:space="0" w:color="B2B2B2" w:themeColor="accent5" w:themeTint="99"/>
          <w:insideH w:val="nil"/>
          <w:insideV w:val="nil"/>
        </w:tcBorders>
        <w:shd w:val="clear" w:color="auto" w:fill="FFFFFF" w:themeFill="background1"/>
      </w:tcPr>
    </w:tblStylePr>
    <w:tblStylePr w:type="lastRow">
      <w:rPr>
        <w:b/>
        <w:bCs/>
      </w:rPr>
      <w:tblPr/>
      <w:tcPr>
        <w:tcBorders>
          <w:top w:val="double" w:sz="2" w:space="0" w:color="B2B2B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5E5" w:themeFill="accent5" w:themeFillTint="33"/>
      </w:tcPr>
    </w:tblStylePr>
    <w:tblStylePr w:type="band1Horz">
      <w:tblPr/>
      <w:tcPr>
        <w:shd w:val="clear" w:color="auto" w:fill="E5E5E5" w:themeFill="accent5" w:themeFillTint="33"/>
      </w:tcPr>
    </w:tblStylePr>
  </w:style>
  <w:style w:type="character" w:customStyle="1" w:styleId="AttendeesListChar">
    <w:name w:val="Attendees List Char"/>
    <w:basedOn w:val="DefaultParagraphFont"/>
    <w:link w:val="AttendeesList"/>
    <w:rsid w:val="003C3320"/>
    <w:rPr>
      <w:rFonts w:ascii="Arial Narrow" w:eastAsia="Times New Roman" w:hAnsi="Arial Narrow" w:cs="Times New Roman"/>
      <w:sz w:val="18"/>
      <w:szCs w:val="16"/>
    </w:rPr>
  </w:style>
  <w:style w:type="table" w:styleId="GridTable3Accent5">
    <w:name w:val="Grid Table 3 Accent 5"/>
    <w:basedOn w:val="TableNormal"/>
    <w:uiPriority w:val="48"/>
    <w:rsid w:val="003C3320"/>
    <w:pPr>
      <w:spacing w:after="0" w:line="240" w:lineRule="auto"/>
    </w:pPr>
    <w:tblPr>
      <w:tblStyleRowBandSize w:val="1"/>
      <w:tblStyleColBandSize w:val="1"/>
      <w:tblBorders>
        <w:top w:val="single" w:sz="4" w:space="0" w:color="B2B2B2" w:themeColor="accent5" w:themeTint="99"/>
        <w:left w:val="single" w:sz="4" w:space="0" w:color="B2B2B2" w:themeColor="accent5" w:themeTint="99"/>
        <w:bottom w:val="single" w:sz="4" w:space="0" w:color="B2B2B2" w:themeColor="accent5" w:themeTint="99"/>
        <w:right w:val="single" w:sz="4" w:space="0" w:color="B2B2B2" w:themeColor="accent5" w:themeTint="99"/>
        <w:insideH w:val="single" w:sz="4" w:space="0" w:color="B2B2B2" w:themeColor="accent5" w:themeTint="99"/>
        <w:insideV w:val="single" w:sz="4" w:space="0" w:color="B2B2B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5E5" w:themeFill="accent5" w:themeFillTint="33"/>
      </w:tcPr>
    </w:tblStylePr>
    <w:tblStylePr w:type="band1Horz">
      <w:tblPr/>
      <w:tcPr>
        <w:shd w:val="clear" w:color="auto" w:fill="E5E5E5" w:themeFill="accent5" w:themeFillTint="33"/>
      </w:tcPr>
    </w:tblStylePr>
    <w:tblStylePr w:type="neCell">
      <w:tblPr/>
      <w:tcPr>
        <w:tcBorders>
          <w:bottom w:val="single" w:sz="4" w:space="0" w:color="B2B2B2" w:themeColor="accent5" w:themeTint="99"/>
        </w:tcBorders>
      </w:tcPr>
    </w:tblStylePr>
    <w:tblStylePr w:type="nwCell">
      <w:tblPr/>
      <w:tcPr>
        <w:tcBorders>
          <w:bottom w:val="single" w:sz="4" w:space="0" w:color="B2B2B2" w:themeColor="accent5" w:themeTint="99"/>
        </w:tcBorders>
      </w:tcPr>
    </w:tblStylePr>
    <w:tblStylePr w:type="seCell">
      <w:tblPr/>
      <w:tcPr>
        <w:tcBorders>
          <w:top w:val="single" w:sz="4" w:space="0" w:color="B2B2B2" w:themeColor="accent5" w:themeTint="99"/>
        </w:tcBorders>
      </w:tcPr>
    </w:tblStylePr>
    <w:tblStylePr w:type="swCell">
      <w:tblPr/>
      <w:tcPr>
        <w:tcBorders>
          <w:top w:val="single" w:sz="4" w:space="0" w:color="B2B2B2" w:themeColor="accent5" w:themeTint="99"/>
        </w:tcBorders>
      </w:tcPr>
    </w:tblStylePr>
  </w:style>
  <w:style w:type="paragraph" w:customStyle="1" w:styleId="tableheading0">
    <w:name w:val="table heading"/>
    <w:basedOn w:val="NoListBody"/>
    <w:link w:val="tableheadingChar0"/>
    <w:qFormat/>
    <w:rsid w:val="003C3320"/>
    <w:pPr>
      <w:tabs>
        <w:tab w:val="clear" w:pos="1440"/>
        <w:tab w:val="clear" w:pos="1800"/>
      </w:tabs>
      <w:spacing w:after="0"/>
      <w:ind w:left="0"/>
    </w:pPr>
    <w:rPr>
      <w:b/>
      <w:color w:val="FFFFFF" w:themeColor="background1"/>
      <w:sz w:val="22"/>
    </w:rPr>
  </w:style>
  <w:style w:type="character" w:customStyle="1" w:styleId="NoListBodyChar">
    <w:name w:val="No List Body Char"/>
    <w:basedOn w:val="DefaultParagraphFont"/>
    <w:link w:val="NoListBody"/>
    <w:rsid w:val="003C3320"/>
    <w:rPr>
      <w:rFonts w:ascii="Arial Narrow" w:eastAsia="Times New Roman" w:hAnsi="Arial Narrow" w:cs="Times New Roman"/>
      <w:sz w:val="20"/>
      <w:szCs w:val="20"/>
    </w:rPr>
  </w:style>
  <w:style w:type="character" w:customStyle="1" w:styleId="tableheadingChar0">
    <w:name w:val="table heading Char"/>
    <w:basedOn w:val="NoListBodyChar"/>
    <w:link w:val="tableheading0"/>
    <w:rsid w:val="003C3320"/>
    <w:rPr>
      <w:rFonts w:ascii="Arial Narrow" w:eastAsia="Times New Roman" w:hAnsi="Arial Narrow" w:cs="Times New Roman"/>
      <w:b/>
      <w:color w:val="FFFFFF" w:themeColor="background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pjm.com/about-pjm/who-we-are/code-of-conduct"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hyperlink" Target="https://www.pjm.com/committees-and-groups/committees/form-facilitator-feedback.aspx" TargetMode="External" /><Relationship Id="rId8" Type="http://schemas.openxmlformats.org/officeDocument/2006/relationships/hyperlink" Target="https://learn.pjm.com/" TargetMode="External"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3.png" /></Relationships>
</file>

<file path=word/_rels/settings.xml.rels><?xml version="1.0" encoding="utf-8" standalone="yes"?><Relationships xmlns="http://schemas.openxmlformats.org/package/2006/relationships"><Relationship Id="rId1" Type="http://schemas.openxmlformats.org/officeDocument/2006/relationships/attachedTemplate" Target="file:///C:\Users\ekovler\Downloads\Agenda.dotx" TargetMode="External" /></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