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Market Implementation Committee Special Session: </w:t>
      </w:r>
      <w:r w:rsidRPr="00DC6210">
        <w:t>Periodic Revi</w:t>
      </w:r>
      <w:r>
        <w:t>ew of Default CONE &amp; ACR Values</w:t>
      </w:r>
    </w:p>
    <w:p w:rsidR="00B62597" w:rsidRPr="00B62597" w:rsidP="00755096">
      <w:pPr>
        <w:pStyle w:val="MeetingDetails"/>
      </w:pPr>
      <w:r>
        <w:t>PJM Conference and Training Center</w:t>
      </w:r>
      <w:r w:rsidR="00DC6210">
        <w:t>/WebEx</w:t>
      </w:r>
    </w:p>
    <w:p w:rsidR="00B62597" w:rsidRPr="00B62597" w:rsidP="00755096">
      <w:pPr>
        <w:pStyle w:val="MeetingDetails"/>
      </w:pPr>
      <w:r>
        <w:t>November 11</w:t>
      </w:r>
      <w:r w:rsidR="002B2F98">
        <w:t xml:space="preserve">, </w:t>
      </w:r>
      <w:r w:rsidR="00A56D57">
        <w:t>2022</w:t>
      </w:r>
    </w:p>
    <w:p w:rsidR="00B62597" w:rsidRPr="00B62597"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C6210">
        <w:t>on (1:00-1:15</w:t>
      </w:r>
      <w:r w:rsidRPr="00527104">
        <w:t>)</w:t>
      </w:r>
    </w:p>
    <w:bookmarkEnd w:id="0"/>
    <w:bookmarkEnd w:id="1"/>
    <w:p w:rsidR="002C6057" w:rsidP="002C6057">
      <w:pPr>
        <w:pStyle w:val="SecondaryHeading-Numbered"/>
        <w:rPr>
          <w:b w:val="0"/>
        </w:rPr>
      </w:pPr>
      <w:r>
        <w:rPr>
          <w:b w:val="0"/>
        </w:rPr>
        <w:t>Nikki Militello, PJM, will provide a welcome and announcements.</w:t>
      </w:r>
    </w:p>
    <w:p w:rsidR="00DC6210" w:rsidRPr="002C6057" w:rsidP="00DC6210">
      <w:pPr>
        <w:pStyle w:val="SecondaryHeading-Numbered"/>
        <w:numPr>
          <w:ilvl w:val="1"/>
          <w:numId w:val="11"/>
        </w:numPr>
        <w:rPr>
          <w:b w:val="0"/>
        </w:rPr>
      </w:pPr>
      <w:r>
        <w:rPr>
          <w:b w:val="0"/>
        </w:rPr>
        <w:t>Jeff Falciani</w:t>
      </w:r>
      <w:r>
        <w:rPr>
          <w:b w:val="0"/>
        </w:rPr>
        <w:t>, PJM, will review the Antitrust, Code of Conduct, and Public Meetings/Media Participation Guidelines.</w:t>
      </w:r>
    </w:p>
    <w:p w:rsidR="00B62597" w:rsidRPr="00DC6210" w:rsidP="00DC6210">
      <w:pPr>
        <w:pStyle w:val="SecondaryHeading-Numbered"/>
        <w:rPr>
          <w:b w:val="0"/>
        </w:rPr>
      </w:pPr>
      <w:r w:rsidRPr="00DC6210">
        <w:rPr>
          <w:b w:val="0"/>
        </w:rPr>
        <w:t>Nikki Militello will review the Periodic Review of Default CONE &amp; ACR Values</w:t>
      </w:r>
      <w:r>
        <w:rPr>
          <w:b w:val="0"/>
        </w:rPr>
        <w:t xml:space="preserve"> work plan.</w:t>
      </w:r>
    </w:p>
    <w:p w:rsidR="001D3B68" w:rsidRPr="00DB29E9" w:rsidP="007C2954">
      <w:pPr>
        <w:pStyle w:val="PrimaryHeading"/>
      </w:pPr>
      <w:r>
        <w:t>Education</w:t>
      </w:r>
      <w:r w:rsidR="00DC6210">
        <w:t xml:space="preserve"> (1:15-3:45</w:t>
      </w:r>
      <w:r>
        <w:t>)</w:t>
      </w:r>
    </w:p>
    <w:p w:rsidR="00B62597" w:rsidP="00917386">
      <w:pPr>
        <w:pStyle w:val="SecondaryHeading-Numbered"/>
        <w:rPr>
          <w:b w:val="0"/>
        </w:rPr>
      </w:pPr>
      <w:r>
        <w:rPr>
          <w:b w:val="0"/>
        </w:rPr>
        <w:t>Skyl</w:t>
      </w:r>
      <w:r w:rsidR="00792934">
        <w:rPr>
          <w:b w:val="0"/>
        </w:rPr>
        <w:t>e</w:t>
      </w:r>
      <w:r>
        <w:rPr>
          <w:b w:val="0"/>
        </w:rPr>
        <w:t>r Marzewski, PJM, will review the methodology used and initial values for the 2026/2027 Default CONE Values. (1:15 – 2:15)</w:t>
      </w:r>
    </w:p>
    <w:p w:rsidR="001B2242" w:rsidRPr="00DC6210" w:rsidP="00DC6210">
      <w:pPr>
        <w:pStyle w:val="SecondaryHeading-Numbered"/>
        <w:rPr>
          <w:b w:val="0"/>
        </w:rPr>
      </w:pPr>
      <w:r>
        <w:rPr>
          <w:b w:val="0"/>
        </w:rPr>
        <w:t>Sam Newell</w:t>
      </w:r>
      <w:r w:rsidR="00DC6210">
        <w:rPr>
          <w:b w:val="0"/>
        </w:rPr>
        <w:t xml:space="preserve">, Brattle, </w:t>
      </w:r>
      <w:r w:rsidR="00344D0E">
        <w:rPr>
          <w:b w:val="0"/>
        </w:rPr>
        <w:t>and Josh J</w:t>
      </w:r>
      <w:bookmarkStart w:id="2" w:name="_GoBack"/>
      <w:bookmarkEnd w:id="2"/>
      <w:r>
        <w:rPr>
          <w:b w:val="0"/>
        </w:rPr>
        <w:t xml:space="preserve">unge, Sargent &amp; Lundy, </w:t>
      </w:r>
      <w:r w:rsidR="00DC6210">
        <w:rPr>
          <w:b w:val="0"/>
        </w:rPr>
        <w:t>will review the methodology used and initial values for the 2026/2027 Default ACR Values. (2:15 – 3:45)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(3:45-4:00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t>Final Proposed Default CONE and ACR Values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679"/>
        <w:gridCol w:w="3240"/>
        <w:gridCol w:w="1636"/>
        <w:gridCol w:w="1529"/>
      </w:tblGrid>
      <w:tr w:rsidTr="00DC62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C6210">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7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C6210">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12/6/2022</w:t>
            </w:r>
          </w:p>
        </w:tc>
        <w:tc>
          <w:tcPr>
            <w:tcW w:w="1679"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3:00 p.m. – 5:00 p.m.</w:t>
            </w:r>
          </w:p>
        </w:tc>
        <w:tc>
          <w:tcPr>
            <w:tcW w:w="3240"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PJM Conference and Training Center/WebEx</w:t>
            </w:r>
          </w:p>
        </w:tc>
        <w:tc>
          <w:tcPr>
            <w:tcW w:w="163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11/28/2022</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12/1/2022</w:t>
            </w:r>
          </w:p>
        </w:tc>
      </w:tr>
      <w:tr w:rsidTr="00DC621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7059A" w:rsidP="00D060CC">
            <w:pPr>
              <w:pStyle w:val="DisclaimerHeading"/>
              <w:spacing w:before="40" w:after="40" w:line="220" w:lineRule="exact"/>
              <w:jc w:val="left"/>
              <w:rPr>
                <w:b w:val="0"/>
                <w:i w:val="0"/>
                <w:color w:val="auto"/>
                <w:sz w:val="18"/>
                <w:szCs w:val="18"/>
              </w:rPr>
            </w:pPr>
            <w:r w:rsidRPr="00B7059A">
              <w:rPr>
                <w:b w:val="0"/>
                <w:i w:val="0"/>
                <w:color w:val="auto"/>
                <w:sz w:val="18"/>
                <w:szCs w:val="18"/>
              </w:rPr>
              <w:t>1/X/2023</w:t>
            </w:r>
          </w:p>
        </w:tc>
        <w:tc>
          <w:tcPr>
            <w:tcW w:w="1679" w:type="dxa"/>
            <w:tcBorders>
              <w:top w:val="single" w:sz="4" w:space="0" w:color="auto"/>
              <w:left w:val="single" w:sz="4" w:space="0" w:color="auto"/>
              <w:bottom w:val="single" w:sz="4" w:space="0" w:color="auto"/>
              <w:right w:val="single" w:sz="8" w:space="0" w:color="auto"/>
            </w:tcBorders>
          </w:tcPr>
          <w:p w:rsidR="00DF1112" w:rsidRPr="00B7059A" w:rsidP="00D060CC">
            <w:pPr>
              <w:pStyle w:val="DisclaimerHeading"/>
              <w:spacing w:before="40" w:after="40" w:line="220" w:lineRule="exact"/>
              <w:rPr>
                <w:b w:val="0"/>
                <w:color w:val="auto"/>
                <w:sz w:val="18"/>
                <w:szCs w:val="18"/>
              </w:rPr>
            </w:pPr>
            <w:r w:rsidRPr="00B7059A">
              <w:rPr>
                <w:b w:val="0"/>
                <w:color w:val="auto"/>
                <w:sz w:val="18"/>
                <w:szCs w:val="18"/>
              </w:rPr>
              <w:t>TBD</w:t>
            </w:r>
          </w:p>
        </w:tc>
        <w:tc>
          <w:tcPr>
            <w:tcW w:w="3240" w:type="dxa"/>
            <w:tcBorders>
              <w:top w:val="single" w:sz="4" w:space="0" w:color="auto"/>
              <w:left w:val="single" w:sz="8" w:space="0" w:color="auto"/>
              <w:bottom w:val="single" w:sz="4" w:space="0" w:color="auto"/>
              <w:right w:val="single" w:sz="8" w:space="0" w:color="auto"/>
            </w:tcBorders>
          </w:tcPr>
          <w:p w:rsidR="00DF1112" w:rsidRPr="00B7059A" w:rsidP="00D060CC">
            <w:pPr>
              <w:pStyle w:val="AttendeesList"/>
              <w:spacing w:before="40" w:after="40" w:line="220" w:lineRule="exact"/>
              <w:rPr>
                <w:szCs w:val="18"/>
              </w:rPr>
            </w:pPr>
            <w:r w:rsidRPr="00B7059A">
              <w:rPr>
                <w:szCs w:val="18"/>
              </w:rPr>
              <w:t>PJM Conference and Training Center/WebEx</w:t>
            </w:r>
          </w:p>
        </w:tc>
        <w:tc>
          <w:tcPr>
            <w:tcW w:w="1636"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r w:rsidRPr="00B7059A">
              <w:rPr>
                <w:b w:val="0"/>
                <w:color w:val="auto"/>
                <w:sz w:val="18"/>
                <w:szCs w:val="18"/>
              </w:rPr>
              <w:t>1/X/2023</w:t>
            </w:r>
          </w:p>
        </w:tc>
        <w:tc>
          <w:tcPr>
            <w:tcW w:w="1529"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r w:rsidRPr="00B7059A">
              <w:rPr>
                <w:b w:val="0"/>
                <w:color w:val="auto"/>
                <w:sz w:val="18"/>
                <w:szCs w:val="18"/>
              </w:rPr>
              <w:t>1/X/2023</w:t>
            </w:r>
          </w:p>
        </w:tc>
      </w:tr>
      <w:tr w:rsidTr="00DC621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C621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C6210">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r w:rsidTr="00DC6210">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679" w:type="dxa"/>
            <w:tcBorders>
              <w:top w:val="single" w:sz="4" w:space="0" w:color="auto"/>
              <w:left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B7059A">
        <w:t>Jeff Falciani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4D0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7059A">
      <w:t>October</w:t>
    </w:r>
    <w:r w:rsidR="00DC6210">
      <w:t xml:space="preserve"> 27, 2022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0"/>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44D0E"/>
    <w:rsid w:val="00394850"/>
    <w:rsid w:val="003B55E1"/>
    <w:rsid w:val="003C17E2"/>
    <w:rsid w:val="003C3320"/>
    <w:rsid w:val="003D7E5C"/>
    <w:rsid w:val="003E551C"/>
    <w:rsid w:val="003E5B03"/>
    <w:rsid w:val="003E7A73"/>
    <w:rsid w:val="00414D56"/>
    <w:rsid w:val="0046043F"/>
    <w:rsid w:val="00491490"/>
    <w:rsid w:val="00494494"/>
    <w:rsid w:val="004969FA"/>
    <w:rsid w:val="00527104"/>
    <w:rsid w:val="0055010D"/>
    <w:rsid w:val="00564DEE"/>
    <w:rsid w:val="0057441E"/>
    <w:rsid w:val="005A5D0D"/>
    <w:rsid w:val="005D6D05"/>
    <w:rsid w:val="006024A0"/>
    <w:rsid w:val="00602967"/>
    <w:rsid w:val="00606F11"/>
    <w:rsid w:val="006C738F"/>
    <w:rsid w:val="006D7535"/>
    <w:rsid w:val="006E6573"/>
    <w:rsid w:val="006F7A52"/>
    <w:rsid w:val="00711249"/>
    <w:rsid w:val="00712CAA"/>
    <w:rsid w:val="00716A8B"/>
    <w:rsid w:val="00730F76"/>
    <w:rsid w:val="00744A45"/>
    <w:rsid w:val="00754C6D"/>
    <w:rsid w:val="00755096"/>
    <w:rsid w:val="007703B4"/>
    <w:rsid w:val="00792934"/>
    <w:rsid w:val="007A34A3"/>
    <w:rsid w:val="007C2954"/>
    <w:rsid w:val="007D4F70"/>
    <w:rsid w:val="007E7CAB"/>
    <w:rsid w:val="00837B12"/>
    <w:rsid w:val="00841282"/>
    <w:rsid w:val="008552A3"/>
    <w:rsid w:val="00856DF8"/>
    <w:rsid w:val="00882652"/>
    <w:rsid w:val="00917386"/>
    <w:rsid w:val="0095194C"/>
    <w:rsid w:val="00991528"/>
    <w:rsid w:val="009A5430"/>
    <w:rsid w:val="009C15C4"/>
    <w:rsid w:val="009D7613"/>
    <w:rsid w:val="009F53F9"/>
    <w:rsid w:val="00A05391"/>
    <w:rsid w:val="00A317A9"/>
    <w:rsid w:val="00A41149"/>
    <w:rsid w:val="00A56D57"/>
    <w:rsid w:val="00AC2247"/>
    <w:rsid w:val="00B16D95"/>
    <w:rsid w:val="00B20316"/>
    <w:rsid w:val="00B34E3C"/>
    <w:rsid w:val="00B62597"/>
    <w:rsid w:val="00B7059A"/>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F45BA"/>
    <w:rsid w:val="00D060CC"/>
    <w:rsid w:val="00D06EC8"/>
    <w:rsid w:val="00D136EA"/>
    <w:rsid w:val="00D251ED"/>
    <w:rsid w:val="00D831E4"/>
    <w:rsid w:val="00D95949"/>
    <w:rsid w:val="00DA23DE"/>
    <w:rsid w:val="00DB29E9"/>
    <w:rsid w:val="00DC6210"/>
    <w:rsid w:val="00DE34CF"/>
    <w:rsid w:val="00DF1112"/>
    <w:rsid w:val="00E1605D"/>
    <w:rsid w:val="00E32B6B"/>
    <w:rsid w:val="00E5387A"/>
    <w:rsid w:val="00E55E84"/>
    <w:rsid w:val="00EB68B0"/>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4B490F"/>
  <w15:docId w15:val="{388538BA-4DE4-4490-86E5-9CEA5CA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