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DA080" w14:textId="21BFEB3F" w:rsidR="00B62597" w:rsidRPr="00B62597" w:rsidRDefault="003B465C" w:rsidP="00755096">
      <w:pPr>
        <w:pStyle w:val="MeetingDetails"/>
      </w:pPr>
      <w:r>
        <w:t>Markets and Reliability Committee</w:t>
      </w:r>
      <w:r w:rsidR="00427DCC">
        <w:t xml:space="preserve"> Special Session - Transparency &amp; End of Life</w:t>
      </w:r>
      <w:r w:rsidR="005B694C">
        <w:t xml:space="preserve"> Planning</w:t>
      </w:r>
    </w:p>
    <w:p w14:paraId="2E930E91" w14:textId="77777777" w:rsidR="00B62597" w:rsidRPr="00B62597" w:rsidRDefault="0088561C" w:rsidP="00755096">
      <w:pPr>
        <w:pStyle w:val="MeetingDetails"/>
      </w:pPr>
      <w:r>
        <w:t>PJM Conference and Training Center</w:t>
      </w:r>
      <w:r w:rsidR="004E5C6E">
        <w:t xml:space="preserve">, Valley Forge, PA </w:t>
      </w:r>
    </w:p>
    <w:p w14:paraId="5AA28FC4" w14:textId="31311D7A" w:rsidR="00B62597" w:rsidRPr="00B62597" w:rsidRDefault="006E2BA1" w:rsidP="00755096">
      <w:pPr>
        <w:pStyle w:val="MeetingDetails"/>
      </w:pPr>
      <w:r>
        <w:t>January 15, 2020</w:t>
      </w:r>
    </w:p>
    <w:p w14:paraId="297229CC" w14:textId="476E1E7D" w:rsidR="00B62597" w:rsidRPr="00B62597" w:rsidRDefault="006E2BA1" w:rsidP="00755096">
      <w:pPr>
        <w:pStyle w:val="MeetingDetails"/>
        <w:rPr>
          <w:sz w:val="28"/>
          <w:u w:val="single"/>
        </w:rPr>
      </w:pPr>
      <w:r>
        <w:t>9</w:t>
      </w:r>
      <w:r w:rsidR="002B2F98">
        <w:t xml:space="preserve">:00 </w:t>
      </w:r>
      <w:r>
        <w:t>a</w:t>
      </w:r>
      <w:r w:rsidR="00F02116">
        <w:t xml:space="preserve">.m. – </w:t>
      </w:r>
      <w:r>
        <w:t>3</w:t>
      </w:r>
      <w:r w:rsidR="001A2CB2" w:rsidRPr="001A2CB2">
        <w:t>:</w:t>
      </w:r>
      <w:r>
        <w:t>0</w:t>
      </w:r>
      <w:r w:rsidR="00645654">
        <w:t>0</w:t>
      </w:r>
      <w:r w:rsidR="00891BA1" w:rsidRPr="001A2CB2">
        <w:t xml:space="preserve"> </w:t>
      </w:r>
      <w:r w:rsidR="00E9195F" w:rsidRPr="001A2CB2">
        <w:t>p</w:t>
      </w:r>
      <w:r w:rsidR="00755096" w:rsidRPr="001A2CB2">
        <w:t>.m.</w:t>
      </w:r>
      <w:r w:rsidR="00755096">
        <w:t xml:space="preserve"> </w:t>
      </w:r>
      <w:r w:rsidR="0088561C">
        <w:t>EPT</w:t>
      </w:r>
    </w:p>
    <w:p w14:paraId="1BBA378D" w14:textId="77777777" w:rsidR="00B62597" w:rsidRPr="00B62597" w:rsidRDefault="00B62597" w:rsidP="00B62597">
      <w:pPr>
        <w:spacing w:after="0" w:line="240" w:lineRule="auto"/>
        <w:rPr>
          <w:rFonts w:ascii="Arial Narrow" w:eastAsia="Times New Roman" w:hAnsi="Arial Narrow" w:cs="Times New Roman"/>
          <w:sz w:val="24"/>
          <w:szCs w:val="20"/>
        </w:rPr>
      </w:pPr>
    </w:p>
    <w:p w14:paraId="51F1D7CA" w14:textId="4464520B" w:rsidR="00B62597" w:rsidRPr="00B62597" w:rsidRDefault="006E2BA1" w:rsidP="009F52D5">
      <w:pPr>
        <w:pStyle w:val="PrimaryHeading"/>
        <w:rPr>
          <w:caps/>
        </w:rPr>
      </w:pPr>
      <w:bookmarkStart w:id="0" w:name="OLE_LINK5"/>
      <w:bookmarkStart w:id="1" w:name="OLE_LINK3"/>
      <w:r>
        <w:t>Administration (9</w:t>
      </w:r>
      <w:r w:rsidR="002B2F98">
        <w:t>:</w:t>
      </w:r>
      <w:r>
        <w:t>00-9</w:t>
      </w:r>
      <w:r w:rsidR="003B465C">
        <w:t>:1</w:t>
      </w:r>
      <w:r w:rsidR="00B62597" w:rsidRPr="009F52D5">
        <w:t>0</w:t>
      </w:r>
      <w:r w:rsidR="00B62597" w:rsidRPr="00B62597">
        <w:t>)</w:t>
      </w:r>
    </w:p>
    <w:bookmarkEnd w:id="0"/>
    <w:bookmarkEnd w:id="1"/>
    <w:p w14:paraId="52E4F7FF" w14:textId="356C91D3" w:rsidR="004E5C6E" w:rsidRDefault="00A1554D" w:rsidP="00F02116">
      <w:pPr>
        <w:pStyle w:val="IndTextS"/>
        <w:widowControl w:val="0"/>
        <w:spacing w:before="120" w:after="200"/>
        <w:ind w:left="360"/>
        <w:rPr>
          <w:szCs w:val="24"/>
        </w:rPr>
      </w:pPr>
      <w:r w:rsidRPr="00437DD7">
        <w:rPr>
          <w:szCs w:val="24"/>
        </w:rPr>
        <w:t>Welcome, announcements and Anti-trust and Code of Conduct announcement – M</w:t>
      </w:r>
      <w:r w:rsidR="008925E5">
        <w:rPr>
          <w:szCs w:val="24"/>
        </w:rPr>
        <w:t>r</w:t>
      </w:r>
      <w:r w:rsidR="00474F01">
        <w:rPr>
          <w:szCs w:val="24"/>
        </w:rPr>
        <w:t xml:space="preserve">. Jeff McLaughlin </w:t>
      </w:r>
    </w:p>
    <w:p w14:paraId="350AC0B0" w14:textId="0E11E0B8" w:rsidR="00F014B2" w:rsidRDefault="00427DCC" w:rsidP="00A1554D">
      <w:pPr>
        <w:pStyle w:val="PrimaryHeading"/>
      </w:pPr>
      <w:r>
        <w:t>Work plan</w:t>
      </w:r>
      <w:r w:rsidR="00F014B2">
        <w:t xml:space="preserve"> </w:t>
      </w:r>
      <w:r w:rsidR="006E2BA1">
        <w:t>(9</w:t>
      </w:r>
      <w:r w:rsidR="00F02116">
        <w:t>:</w:t>
      </w:r>
      <w:r w:rsidR="006E2BA1">
        <w:t>1</w:t>
      </w:r>
      <w:r w:rsidR="00F02116">
        <w:t>0-</w:t>
      </w:r>
      <w:r w:rsidR="006E2BA1">
        <w:t>9</w:t>
      </w:r>
      <w:r w:rsidR="00F02116">
        <w:t>:</w:t>
      </w:r>
      <w:r w:rsidR="006E2BA1">
        <w:t>2</w:t>
      </w:r>
      <w:r>
        <w:t>0)</w:t>
      </w:r>
    </w:p>
    <w:p w14:paraId="1AD841AB" w14:textId="381D6C3D" w:rsidR="00010771" w:rsidRPr="00010771" w:rsidRDefault="00427DCC" w:rsidP="005B694C">
      <w:pPr>
        <w:pStyle w:val="SecondaryHeading-Numbered"/>
        <w:numPr>
          <w:ilvl w:val="0"/>
          <w:numId w:val="3"/>
        </w:numPr>
        <w:spacing w:before="120"/>
        <w:ind w:left="720"/>
        <w:rPr>
          <w:szCs w:val="24"/>
        </w:rPr>
      </w:pPr>
      <w:r>
        <w:rPr>
          <w:szCs w:val="24"/>
        </w:rPr>
        <w:t xml:space="preserve">Mr. Jim Gluck will review the </w:t>
      </w:r>
      <w:r w:rsidR="006E2BA1">
        <w:rPr>
          <w:szCs w:val="24"/>
        </w:rPr>
        <w:t>updated</w:t>
      </w:r>
      <w:r w:rsidR="0038583C">
        <w:rPr>
          <w:szCs w:val="24"/>
        </w:rPr>
        <w:t xml:space="preserve"> work plan for this initiative</w:t>
      </w:r>
    </w:p>
    <w:p w14:paraId="1D6D16DC" w14:textId="13D6F480" w:rsidR="001D3B68" w:rsidRPr="00DB29E9" w:rsidRDefault="00427DCC" w:rsidP="009F52D5">
      <w:pPr>
        <w:pStyle w:val="PrimaryHeading"/>
      </w:pPr>
      <w:r>
        <w:t xml:space="preserve">Education </w:t>
      </w:r>
      <w:r w:rsidR="00EC3FC5">
        <w:t xml:space="preserve">Topics </w:t>
      </w:r>
      <w:r w:rsidR="00E91F3A">
        <w:t>(</w:t>
      </w:r>
      <w:r w:rsidR="003D700B">
        <w:t>9:2</w:t>
      </w:r>
      <w:r>
        <w:t>0</w:t>
      </w:r>
      <w:r w:rsidR="00334674">
        <w:t>-</w:t>
      </w:r>
      <w:r w:rsidR="003D700B">
        <w:t>11:45</w:t>
      </w:r>
      <w:r w:rsidR="001D3B68">
        <w:t>)</w:t>
      </w:r>
    </w:p>
    <w:p w14:paraId="6D1FFC9D" w14:textId="7DB7EA3A" w:rsidR="005B694C" w:rsidRPr="005B694C" w:rsidRDefault="009902B1" w:rsidP="005B694C">
      <w:pPr>
        <w:pStyle w:val="SecondaryHeading-Numbered"/>
        <w:numPr>
          <w:ilvl w:val="0"/>
          <w:numId w:val="3"/>
        </w:numPr>
        <w:spacing w:before="120"/>
        <w:ind w:left="720"/>
        <w:rPr>
          <w:szCs w:val="24"/>
          <w:u w:val="single"/>
        </w:rPr>
      </w:pPr>
      <w:r>
        <w:rPr>
          <w:szCs w:val="24"/>
          <w:u w:val="single"/>
        </w:rPr>
        <w:t>Review of “California Orders”</w:t>
      </w:r>
    </w:p>
    <w:p w14:paraId="34321D02" w14:textId="16E9B9DC" w:rsidR="005B694C" w:rsidRPr="009902B1" w:rsidRDefault="004A3B9A" w:rsidP="0094525B">
      <w:pPr>
        <w:pStyle w:val="SecondaryHeading-Numbered"/>
        <w:numPr>
          <w:ilvl w:val="0"/>
          <w:numId w:val="0"/>
        </w:numPr>
        <w:spacing w:before="120"/>
        <w:ind w:left="720"/>
        <w:rPr>
          <w:szCs w:val="24"/>
          <w:u w:val="single"/>
        </w:rPr>
      </w:pPr>
      <w:r>
        <w:rPr>
          <w:szCs w:val="24"/>
        </w:rPr>
        <w:t xml:space="preserve">PJM </w:t>
      </w:r>
      <w:r w:rsidR="005B694C">
        <w:rPr>
          <w:szCs w:val="24"/>
        </w:rPr>
        <w:t xml:space="preserve">will review </w:t>
      </w:r>
      <w:r w:rsidR="009902B1">
        <w:rPr>
          <w:szCs w:val="24"/>
        </w:rPr>
        <w:t xml:space="preserve">the </w:t>
      </w:r>
      <w:r w:rsidR="009902B1" w:rsidRPr="009902B1">
        <w:rPr>
          <w:szCs w:val="24"/>
        </w:rPr>
        <w:t>Southern California Edison Co., et al. (“SoCal Edison Order”)</w:t>
      </w:r>
      <w:r w:rsidR="0094525B">
        <w:rPr>
          <w:szCs w:val="24"/>
        </w:rPr>
        <w:t xml:space="preserve"> and the </w:t>
      </w:r>
      <w:r w:rsidR="009902B1" w:rsidRPr="009902B1">
        <w:rPr>
          <w:szCs w:val="24"/>
        </w:rPr>
        <w:t>California Pub. Util. Commission, v. Pacific Gas &amp; Elec. Co. (“PG&amp;E Order”)</w:t>
      </w:r>
      <w:r w:rsidR="0094525B">
        <w:rPr>
          <w:szCs w:val="24"/>
        </w:rPr>
        <w:t xml:space="preserve"> orders collectively the “California Orders.”</w:t>
      </w:r>
    </w:p>
    <w:p w14:paraId="104EB8F3" w14:textId="7E598DC3" w:rsidR="005B694C" w:rsidRDefault="009902B1" w:rsidP="005B694C">
      <w:pPr>
        <w:pStyle w:val="SecondaryHeading-Numbered"/>
        <w:numPr>
          <w:ilvl w:val="0"/>
          <w:numId w:val="3"/>
        </w:numPr>
        <w:spacing w:before="120"/>
        <w:ind w:left="720"/>
        <w:rPr>
          <w:szCs w:val="24"/>
          <w:u w:val="single"/>
        </w:rPr>
      </w:pPr>
      <w:r>
        <w:rPr>
          <w:szCs w:val="24"/>
          <w:u w:val="single"/>
        </w:rPr>
        <w:t>Review of “August 30, 2019 Orders”</w:t>
      </w:r>
      <w:bookmarkStart w:id="2" w:name="_GoBack"/>
      <w:bookmarkEnd w:id="2"/>
    </w:p>
    <w:p w14:paraId="69F6DC99" w14:textId="1780B061" w:rsidR="00212260" w:rsidRDefault="004A3B9A" w:rsidP="00212260">
      <w:pPr>
        <w:pStyle w:val="SecondaryHeading-Numbered"/>
        <w:numPr>
          <w:ilvl w:val="0"/>
          <w:numId w:val="0"/>
        </w:numPr>
        <w:ind w:left="720"/>
      </w:pPr>
      <w:r>
        <w:t xml:space="preserve">PJM </w:t>
      </w:r>
      <w:r w:rsidR="004545AA" w:rsidRPr="004545AA">
        <w:t xml:space="preserve">will review </w:t>
      </w:r>
      <w:r w:rsidR="00212260">
        <w:t>the following FERC Orders</w:t>
      </w:r>
      <w:r w:rsidR="00F85159">
        <w:t xml:space="preserve"> issued August 30, 2019</w:t>
      </w:r>
      <w:r w:rsidR="00212260">
        <w:t>:</w:t>
      </w:r>
    </w:p>
    <w:p w14:paraId="737B0C33" w14:textId="336ADB2F" w:rsidR="00212260" w:rsidRPr="00212260" w:rsidRDefault="004545AA" w:rsidP="00212260">
      <w:pPr>
        <w:pStyle w:val="SecondaryHeading-Numbered"/>
        <w:numPr>
          <w:ilvl w:val="0"/>
          <w:numId w:val="12"/>
        </w:numPr>
      </w:pPr>
      <w:r w:rsidRPr="004545AA">
        <w:t>FERC’s Order on Remand regarding the Transmission Owners’ cost allocation methodology for Form 715 project</w:t>
      </w:r>
      <w:r w:rsidR="00212260">
        <w:t>s</w:t>
      </w:r>
      <w:r w:rsidR="00EA6D26">
        <w:t xml:space="preserve"> (Dockets ER15-1344</w:t>
      </w:r>
      <w:r w:rsidR="004A3B9A">
        <w:t xml:space="preserve"> and</w:t>
      </w:r>
      <w:r w:rsidR="00EA6D26">
        <w:t xml:space="preserve"> ER15-1387)</w:t>
      </w:r>
      <w:r w:rsidR="00212260">
        <w:t>.</w:t>
      </w:r>
    </w:p>
    <w:p w14:paraId="696F3120" w14:textId="5C252149" w:rsidR="004545AA" w:rsidRPr="004545AA" w:rsidRDefault="00BD20D6" w:rsidP="00212260">
      <w:pPr>
        <w:pStyle w:val="SecondaryHeading-Numbered"/>
        <w:numPr>
          <w:ilvl w:val="0"/>
          <w:numId w:val="12"/>
        </w:numPr>
      </w:pPr>
      <w:r w:rsidRPr="004545AA">
        <w:t xml:space="preserve">FERC’s order instituting a section 206 proceeding and directing PJM to revise the PJM Operating Agreement to make clear that Form 715 projects are subject to PJM’s competitive proposal window process or show cause why </w:t>
      </w:r>
      <w:r w:rsidR="00212260">
        <w:t>such changes are not necessary.</w:t>
      </w:r>
      <w:r w:rsidR="00EA6D26">
        <w:t xml:space="preserve"> (Docket EL19-61)</w:t>
      </w:r>
    </w:p>
    <w:p w14:paraId="4EA48E59" w14:textId="5B36CABF" w:rsidR="003D700B" w:rsidRPr="004A3B9A" w:rsidRDefault="00212260" w:rsidP="004A3B9A">
      <w:pPr>
        <w:pStyle w:val="SecondaryHeading-Numbered"/>
        <w:numPr>
          <w:ilvl w:val="0"/>
          <w:numId w:val="3"/>
        </w:numPr>
        <w:ind w:left="720"/>
      </w:pPr>
      <w:r w:rsidRPr="004A3B9A">
        <w:t>Mr. Aaron Berner</w:t>
      </w:r>
      <w:r w:rsidRPr="004A3B9A">
        <w:t>,</w:t>
      </w:r>
      <w:r w:rsidRPr="004545AA">
        <w:t xml:space="preserve"> PJM, will review </w:t>
      </w:r>
      <w:r>
        <w:t xml:space="preserve">a </w:t>
      </w:r>
      <w:r w:rsidR="004A3B9A">
        <w:t xml:space="preserve">brief </w:t>
      </w:r>
      <w:r>
        <w:t xml:space="preserve">summary of the </w:t>
      </w:r>
      <w:r w:rsidRPr="00212260">
        <w:t>Transmission Replacement Processes Senior Task Force (TRPSTF)</w:t>
      </w:r>
      <w:r>
        <w:t xml:space="preserve"> initiative.</w:t>
      </w:r>
      <w:r w:rsidR="004A3B9A">
        <w:br/>
      </w:r>
    </w:p>
    <w:p w14:paraId="68801E2D" w14:textId="36366F67" w:rsidR="0038583C" w:rsidRPr="00DB29E9" w:rsidRDefault="0038583C" w:rsidP="0038583C">
      <w:pPr>
        <w:pStyle w:val="PrimaryHeading"/>
      </w:pPr>
      <w:r>
        <w:t>Solu</w:t>
      </w:r>
      <w:r w:rsidR="003D700B">
        <w:t>tion Development (12:30-2</w:t>
      </w:r>
      <w:r>
        <w:t>:45)</w:t>
      </w:r>
    </w:p>
    <w:p w14:paraId="16128FCC" w14:textId="330E8EF6" w:rsidR="0038583C" w:rsidRPr="0038583C" w:rsidRDefault="0038583C" w:rsidP="0038583C">
      <w:pPr>
        <w:pStyle w:val="SecondaryHeading-Numbered"/>
        <w:numPr>
          <w:ilvl w:val="0"/>
          <w:numId w:val="3"/>
        </w:numPr>
        <w:spacing w:before="120"/>
        <w:ind w:left="720"/>
        <w:rPr>
          <w:szCs w:val="24"/>
        </w:rPr>
      </w:pPr>
      <w:r w:rsidRPr="0038583C">
        <w:rPr>
          <w:szCs w:val="24"/>
        </w:rPr>
        <w:t>Interest Identification</w:t>
      </w:r>
    </w:p>
    <w:p w14:paraId="61234AB7" w14:textId="44D30459" w:rsidR="0038583C" w:rsidRPr="004A3B9A" w:rsidRDefault="0038583C" w:rsidP="0038583C">
      <w:pPr>
        <w:pStyle w:val="SecondaryHeading-Numbered"/>
        <w:numPr>
          <w:ilvl w:val="0"/>
          <w:numId w:val="3"/>
        </w:numPr>
        <w:tabs>
          <w:tab w:val="clear" w:pos="0"/>
          <w:tab w:val="left" w:pos="360"/>
        </w:tabs>
        <w:spacing w:before="120"/>
        <w:ind w:left="720"/>
        <w:rPr>
          <w:szCs w:val="24"/>
          <w:u w:val="single"/>
        </w:rPr>
      </w:pPr>
      <w:r>
        <w:rPr>
          <w:szCs w:val="24"/>
        </w:rPr>
        <w:t xml:space="preserve">Develop Design Components </w:t>
      </w:r>
    </w:p>
    <w:p w14:paraId="6E5AA91D" w14:textId="2F1D3714" w:rsidR="004A3B9A" w:rsidRPr="0038583C" w:rsidRDefault="004A3B9A" w:rsidP="0038583C">
      <w:pPr>
        <w:pStyle w:val="SecondaryHeading-Numbered"/>
        <w:numPr>
          <w:ilvl w:val="0"/>
          <w:numId w:val="3"/>
        </w:numPr>
        <w:tabs>
          <w:tab w:val="clear" w:pos="0"/>
          <w:tab w:val="left" w:pos="360"/>
        </w:tabs>
        <w:spacing w:before="120"/>
        <w:ind w:left="720"/>
        <w:rPr>
          <w:szCs w:val="24"/>
          <w:u w:val="single"/>
        </w:rPr>
      </w:pPr>
      <w:r>
        <w:rPr>
          <w:szCs w:val="24"/>
        </w:rPr>
        <w:t>Develop Options</w:t>
      </w:r>
    </w:p>
    <w:p w14:paraId="7AB2FF75" w14:textId="77777777" w:rsidR="004545AA" w:rsidRPr="00EC3FC5" w:rsidRDefault="004545AA" w:rsidP="004545AA">
      <w:pPr>
        <w:pStyle w:val="SecondaryHeading-Numbered"/>
        <w:numPr>
          <w:ilvl w:val="0"/>
          <w:numId w:val="0"/>
        </w:numPr>
        <w:spacing w:before="120"/>
        <w:ind w:left="72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277"/>
        <w:gridCol w:w="3960"/>
      </w:tblGrid>
      <w:tr w:rsidR="00BB531B" w14:paraId="668CFA05" w14:textId="77777777" w:rsidTr="0047412C">
        <w:tc>
          <w:tcPr>
            <w:tcW w:w="9360" w:type="dxa"/>
            <w:gridSpan w:val="3"/>
          </w:tcPr>
          <w:p w14:paraId="74FB44D8" w14:textId="43FE5CCA" w:rsidR="00BB531B" w:rsidRDefault="00427DCC" w:rsidP="00797C7B">
            <w:pPr>
              <w:pStyle w:val="PrimaryHeading"/>
              <w:ind w:left="-105"/>
            </w:pPr>
            <w:r>
              <w:t>Future Agenda Items</w:t>
            </w:r>
            <w:r w:rsidR="0038583C">
              <w:t xml:space="preserve"> (2:45-3:0</w:t>
            </w:r>
            <w:r w:rsidR="00D24174">
              <w:t>0</w:t>
            </w:r>
            <w:r w:rsidR="005B694C">
              <w:t>)</w:t>
            </w:r>
          </w:p>
        </w:tc>
      </w:tr>
      <w:tr w:rsidR="00BB531B" w14:paraId="133CDBA3" w14:textId="77777777" w:rsidTr="0047412C">
        <w:trPr>
          <w:trHeight w:val="296"/>
        </w:trPr>
        <w:tc>
          <w:tcPr>
            <w:tcW w:w="9360" w:type="dxa"/>
            <w:gridSpan w:val="3"/>
          </w:tcPr>
          <w:p w14:paraId="69E78BCA" w14:textId="702FBA1E" w:rsidR="005B694C" w:rsidRDefault="005B694C" w:rsidP="005B694C">
            <w:pPr>
              <w:pStyle w:val="AttendeesList"/>
              <w:numPr>
                <w:ilvl w:val="0"/>
                <w:numId w:val="5"/>
              </w:numPr>
              <w:rPr>
                <w:sz w:val="24"/>
                <w:szCs w:val="24"/>
              </w:rPr>
            </w:pPr>
            <w:r w:rsidRPr="005B694C">
              <w:rPr>
                <w:sz w:val="24"/>
                <w:szCs w:val="24"/>
              </w:rPr>
              <w:t>Stakeholder education</w:t>
            </w:r>
            <w:r w:rsidR="0008614F">
              <w:rPr>
                <w:sz w:val="24"/>
                <w:szCs w:val="24"/>
              </w:rPr>
              <w:t>, if additional topics are requested</w:t>
            </w:r>
          </w:p>
          <w:p w14:paraId="25BB54DA" w14:textId="2A3021DC" w:rsidR="005B694C" w:rsidRDefault="0038583C" w:rsidP="005B694C">
            <w:pPr>
              <w:pStyle w:val="AttendeesList"/>
              <w:numPr>
                <w:ilvl w:val="0"/>
                <w:numId w:val="5"/>
              </w:numPr>
              <w:rPr>
                <w:sz w:val="24"/>
                <w:szCs w:val="24"/>
              </w:rPr>
            </w:pPr>
            <w:r>
              <w:rPr>
                <w:sz w:val="24"/>
                <w:szCs w:val="24"/>
              </w:rPr>
              <w:lastRenderedPageBreak/>
              <w:t xml:space="preserve">Continue Solution Development process per Manual 34: </w:t>
            </w:r>
            <w:r w:rsidR="0008614F">
              <w:rPr>
                <w:sz w:val="24"/>
                <w:szCs w:val="24"/>
              </w:rPr>
              <w:t xml:space="preserve">Develop Solutions Options, </w:t>
            </w:r>
            <w:r>
              <w:rPr>
                <w:sz w:val="24"/>
                <w:szCs w:val="24"/>
              </w:rPr>
              <w:t>Narrow Options, Develop Packages, Narrow Packages</w:t>
            </w:r>
          </w:p>
          <w:p w14:paraId="49606CDB" w14:textId="0669D920" w:rsidR="005B694C" w:rsidRPr="005B694C" w:rsidRDefault="005B694C" w:rsidP="005B694C">
            <w:pPr>
              <w:pStyle w:val="AttendeesList"/>
              <w:ind w:left="720"/>
              <w:rPr>
                <w:sz w:val="24"/>
                <w:szCs w:val="24"/>
              </w:rPr>
            </w:pPr>
          </w:p>
        </w:tc>
      </w:tr>
      <w:tr w:rsidR="00BB531B" w14:paraId="69679920" w14:textId="77777777" w:rsidTr="0047412C">
        <w:tc>
          <w:tcPr>
            <w:tcW w:w="9360" w:type="dxa"/>
            <w:gridSpan w:val="3"/>
          </w:tcPr>
          <w:p w14:paraId="20C2BA08" w14:textId="77777777" w:rsidR="00BB531B" w:rsidRDefault="006C472C" w:rsidP="00797C7B">
            <w:pPr>
              <w:pStyle w:val="PrimaryHeading"/>
              <w:ind w:left="-105"/>
            </w:pPr>
            <w:r>
              <w:lastRenderedPageBreak/>
              <w:t>Future Meeting Dates</w:t>
            </w:r>
          </w:p>
        </w:tc>
      </w:tr>
      <w:tr w:rsidR="002A2D64" w:rsidRPr="0047412C" w14:paraId="4BB82295" w14:textId="77777777" w:rsidTr="0047412C">
        <w:tc>
          <w:tcPr>
            <w:tcW w:w="3123" w:type="dxa"/>
            <w:vAlign w:val="center"/>
          </w:tcPr>
          <w:p w14:paraId="2DA61B05" w14:textId="7D08317C" w:rsidR="002A2D64" w:rsidRPr="0047412C" w:rsidRDefault="00427DCC" w:rsidP="002A2D64">
            <w:pPr>
              <w:pStyle w:val="AttendeesList"/>
              <w:rPr>
                <w:sz w:val="22"/>
                <w:szCs w:val="22"/>
              </w:rPr>
            </w:pPr>
            <w:r w:rsidRPr="0047412C">
              <w:rPr>
                <w:sz w:val="22"/>
                <w:szCs w:val="22"/>
              </w:rPr>
              <w:t>February 7</w:t>
            </w:r>
            <w:r w:rsidR="002A2D64" w:rsidRPr="0047412C">
              <w:rPr>
                <w:sz w:val="22"/>
                <w:szCs w:val="22"/>
              </w:rPr>
              <w:t xml:space="preserve">, 2020 </w:t>
            </w:r>
          </w:p>
        </w:tc>
        <w:tc>
          <w:tcPr>
            <w:tcW w:w="2277" w:type="dxa"/>
            <w:vAlign w:val="center"/>
          </w:tcPr>
          <w:p w14:paraId="586756F9" w14:textId="6A1D0567" w:rsidR="002A2D64" w:rsidRPr="0047412C" w:rsidRDefault="002A2D64" w:rsidP="002A2D64">
            <w:pPr>
              <w:pStyle w:val="AttendeesList"/>
              <w:rPr>
                <w:sz w:val="22"/>
                <w:szCs w:val="22"/>
              </w:rPr>
            </w:pPr>
            <w:r w:rsidRPr="0047412C">
              <w:rPr>
                <w:sz w:val="22"/>
                <w:szCs w:val="22"/>
              </w:rPr>
              <w:t xml:space="preserve">9:00 a.m. </w:t>
            </w:r>
          </w:p>
        </w:tc>
        <w:tc>
          <w:tcPr>
            <w:tcW w:w="3960" w:type="dxa"/>
            <w:vAlign w:val="center"/>
          </w:tcPr>
          <w:p w14:paraId="0F80653A" w14:textId="76653C59" w:rsidR="002A2D64" w:rsidRPr="0047412C" w:rsidRDefault="002A2D64" w:rsidP="002A2D64">
            <w:pPr>
              <w:pStyle w:val="AttendeesList"/>
              <w:rPr>
                <w:sz w:val="22"/>
                <w:szCs w:val="22"/>
              </w:rPr>
            </w:pPr>
            <w:r w:rsidRPr="0047412C">
              <w:rPr>
                <w:sz w:val="22"/>
                <w:szCs w:val="22"/>
              </w:rPr>
              <w:t>PJM Conference &amp; Training Center/ WebEx</w:t>
            </w:r>
          </w:p>
        </w:tc>
      </w:tr>
      <w:tr w:rsidR="002A2D64" w:rsidRPr="0047412C" w14:paraId="0F5534C7" w14:textId="77777777" w:rsidTr="0047412C">
        <w:tc>
          <w:tcPr>
            <w:tcW w:w="3123" w:type="dxa"/>
            <w:vAlign w:val="center"/>
          </w:tcPr>
          <w:p w14:paraId="2B485620" w14:textId="782EEBF2" w:rsidR="002A2D64" w:rsidRPr="0047412C" w:rsidRDefault="00427DCC" w:rsidP="002A2D64">
            <w:pPr>
              <w:pStyle w:val="AttendeesList"/>
              <w:rPr>
                <w:sz w:val="22"/>
                <w:szCs w:val="22"/>
              </w:rPr>
            </w:pPr>
            <w:r w:rsidRPr="0047412C">
              <w:rPr>
                <w:sz w:val="22"/>
                <w:szCs w:val="22"/>
              </w:rPr>
              <w:t>February 28</w:t>
            </w:r>
            <w:r w:rsidR="002A2D64" w:rsidRPr="0047412C">
              <w:rPr>
                <w:sz w:val="22"/>
                <w:szCs w:val="22"/>
              </w:rPr>
              <w:t xml:space="preserve">, 2020 </w:t>
            </w:r>
          </w:p>
        </w:tc>
        <w:tc>
          <w:tcPr>
            <w:tcW w:w="2277" w:type="dxa"/>
            <w:vAlign w:val="center"/>
          </w:tcPr>
          <w:p w14:paraId="111CC39F" w14:textId="54D44963" w:rsidR="002A2D64" w:rsidRPr="0047412C" w:rsidRDefault="002A2D64" w:rsidP="002A2D64">
            <w:pPr>
              <w:pStyle w:val="AttendeesList"/>
              <w:rPr>
                <w:sz w:val="22"/>
                <w:szCs w:val="22"/>
              </w:rPr>
            </w:pPr>
            <w:r w:rsidRPr="0047412C">
              <w:rPr>
                <w:sz w:val="22"/>
                <w:szCs w:val="22"/>
              </w:rPr>
              <w:t xml:space="preserve">9:00 a.m. </w:t>
            </w:r>
          </w:p>
        </w:tc>
        <w:tc>
          <w:tcPr>
            <w:tcW w:w="3960" w:type="dxa"/>
            <w:vAlign w:val="center"/>
          </w:tcPr>
          <w:p w14:paraId="178974DE" w14:textId="6F10497B" w:rsidR="002A2D64" w:rsidRPr="0047412C" w:rsidRDefault="002A2D64" w:rsidP="002A2D64">
            <w:pPr>
              <w:pStyle w:val="AttendeesList"/>
              <w:rPr>
                <w:sz w:val="22"/>
                <w:szCs w:val="22"/>
              </w:rPr>
            </w:pPr>
            <w:r w:rsidRPr="0047412C">
              <w:rPr>
                <w:sz w:val="22"/>
                <w:szCs w:val="22"/>
              </w:rPr>
              <w:t>PJM Conference &amp; Training Center/ WebEx</w:t>
            </w:r>
          </w:p>
        </w:tc>
      </w:tr>
      <w:tr w:rsidR="002A2D64" w:rsidRPr="0047412C" w14:paraId="3D9C8C48" w14:textId="77777777" w:rsidTr="0047412C">
        <w:tc>
          <w:tcPr>
            <w:tcW w:w="3123" w:type="dxa"/>
            <w:vAlign w:val="center"/>
          </w:tcPr>
          <w:p w14:paraId="59382FB5" w14:textId="1FC0D973" w:rsidR="002A2D64" w:rsidRPr="0047412C" w:rsidRDefault="00427DCC" w:rsidP="00427DCC">
            <w:pPr>
              <w:pStyle w:val="AttendeesList"/>
              <w:rPr>
                <w:sz w:val="22"/>
                <w:szCs w:val="22"/>
              </w:rPr>
            </w:pPr>
            <w:r w:rsidRPr="0047412C">
              <w:rPr>
                <w:sz w:val="22"/>
                <w:szCs w:val="22"/>
              </w:rPr>
              <w:t>March 24</w:t>
            </w:r>
            <w:r w:rsidR="002A2D64" w:rsidRPr="0047412C">
              <w:rPr>
                <w:sz w:val="22"/>
                <w:szCs w:val="22"/>
              </w:rPr>
              <w:t xml:space="preserve">, 2020 </w:t>
            </w:r>
          </w:p>
        </w:tc>
        <w:tc>
          <w:tcPr>
            <w:tcW w:w="2277" w:type="dxa"/>
            <w:vAlign w:val="center"/>
          </w:tcPr>
          <w:p w14:paraId="5B8B0F4A" w14:textId="186DB57F" w:rsidR="002A2D64" w:rsidRPr="0047412C" w:rsidRDefault="002A2D64" w:rsidP="002A2D64">
            <w:pPr>
              <w:pStyle w:val="AttendeesList"/>
              <w:rPr>
                <w:sz w:val="22"/>
                <w:szCs w:val="22"/>
              </w:rPr>
            </w:pPr>
            <w:r w:rsidRPr="0047412C">
              <w:rPr>
                <w:sz w:val="22"/>
                <w:szCs w:val="22"/>
              </w:rPr>
              <w:t xml:space="preserve">9:00 a.m. </w:t>
            </w:r>
          </w:p>
        </w:tc>
        <w:tc>
          <w:tcPr>
            <w:tcW w:w="3960" w:type="dxa"/>
            <w:vAlign w:val="center"/>
          </w:tcPr>
          <w:p w14:paraId="00D6703D" w14:textId="43D88288" w:rsidR="002A2D64" w:rsidRPr="0047412C" w:rsidRDefault="002A2D64" w:rsidP="002A2D64">
            <w:pPr>
              <w:pStyle w:val="AttendeesList"/>
              <w:rPr>
                <w:sz w:val="22"/>
                <w:szCs w:val="22"/>
              </w:rPr>
            </w:pPr>
            <w:r w:rsidRPr="0047412C">
              <w:rPr>
                <w:sz w:val="22"/>
                <w:szCs w:val="22"/>
              </w:rPr>
              <w:t>PJM Conference &amp; Training Center/ WebEx</w:t>
            </w:r>
          </w:p>
        </w:tc>
      </w:tr>
      <w:tr w:rsidR="002A2D64" w14:paraId="109F9034" w14:textId="77777777" w:rsidTr="0047412C">
        <w:tc>
          <w:tcPr>
            <w:tcW w:w="3123" w:type="dxa"/>
            <w:vAlign w:val="center"/>
          </w:tcPr>
          <w:p w14:paraId="5B6E9B43" w14:textId="77777777" w:rsidR="002A2D64" w:rsidRPr="00B62597" w:rsidRDefault="002A2D64" w:rsidP="002A2D64">
            <w:pPr>
              <w:pStyle w:val="AttendeesList"/>
            </w:pPr>
          </w:p>
        </w:tc>
        <w:tc>
          <w:tcPr>
            <w:tcW w:w="2277" w:type="dxa"/>
            <w:vAlign w:val="center"/>
          </w:tcPr>
          <w:p w14:paraId="3D4740BE" w14:textId="77777777" w:rsidR="002A2D64" w:rsidRDefault="002A2D64" w:rsidP="002A2D64">
            <w:pPr>
              <w:pStyle w:val="AttendeesList"/>
            </w:pPr>
          </w:p>
        </w:tc>
        <w:tc>
          <w:tcPr>
            <w:tcW w:w="3960" w:type="dxa"/>
            <w:vAlign w:val="center"/>
          </w:tcPr>
          <w:p w14:paraId="718B85F9" w14:textId="77777777" w:rsidR="002A2D64" w:rsidRDefault="002A2D64" w:rsidP="002A2D64">
            <w:pPr>
              <w:pStyle w:val="AttendeesList"/>
            </w:pPr>
          </w:p>
        </w:tc>
      </w:tr>
    </w:tbl>
    <w:p w14:paraId="546BE059" w14:textId="50E47CC8" w:rsidR="00B62597" w:rsidRDefault="00427DCC" w:rsidP="00337321">
      <w:pPr>
        <w:pStyle w:val="Author"/>
      </w:pPr>
      <w:r>
        <w:t>Author: J. Gluck</w:t>
      </w:r>
      <w:r w:rsidR="004E5C6E">
        <w:t xml:space="preserve"> </w:t>
      </w:r>
    </w:p>
    <w:p w14:paraId="498A9EC8" w14:textId="77777777" w:rsidR="00A317A9" w:rsidRPr="00B62597" w:rsidRDefault="00A317A9" w:rsidP="00337321">
      <w:pPr>
        <w:pStyle w:val="Author"/>
      </w:pPr>
    </w:p>
    <w:p w14:paraId="65FA4070" w14:textId="77777777" w:rsidR="00B62597" w:rsidRPr="00B62597" w:rsidRDefault="00E96E8D" w:rsidP="00DB29E9">
      <w:pPr>
        <w:pStyle w:val="DisclaimerHeading"/>
      </w:pPr>
      <w:r>
        <w:t>Anti</w:t>
      </w:r>
      <w:r w:rsidR="00B62597" w:rsidRPr="00B62597">
        <w:t>trust:</w:t>
      </w:r>
    </w:p>
    <w:p w14:paraId="4C86E419"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DE983FF" w14:textId="77777777" w:rsidR="00B62597" w:rsidRPr="00B62597" w:rsidRDefault="00B62597" w:rsidP="00B62597">
      <w:pPr>
        <w:spacing w:after="0" w:line="240" w:lineRule="auto"/>
        <w:rPr>
          <w:rFonts w:ascii="Arial Narrow" w:eastAsia="Times New Roman" w:hAnsi="Arial Narrow" w:cs="Times New Roman"/>
          <w:sz w:val="16"/>
          <w:szCs w:val="16"/>
        </w:rPr>
      </w:pPr>
    </w:p>
    <w:p w14:paraId="3279C393" w14:textId="77777777" w:rsidR="00B62597" w:rsidRPr="00B62597" w:rsidRDefault="00B62597" w:rsidP="00337321">
      <w:pPr>
        <w:pStyle w:val="DisclosureTitle"/>
      </w:pPr>
      <w:r w:rsidRPr="00B62597">
        <w:t>Code of Conduct:</w:t>
      </w:r>
    </w:p>
    <w:p w14:paraId="0450B4A6" w14:textId="77777777"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72EFA68" w14:textId="77777777" w:rsidR="004E5C6E" w:rsidRPr="004E5C6E" w:rsidRDefault="004E5C6E" w:rsidP="004E5C6E">
      <w:pPr>
        <w:pStyle w:val="DisclosureBody"/>
      </w:pPr>
    </w:p>
    <w:p w14:paraId="504920CD" w14:textId="77777777" w:rsidR="00B62597" w:rsidRPr="00B62597" w:rsidRDefault="00B62597" w:rsidP="00337321">
      <w:pPr>
        <w:pStyle w:val="DisclosureTitle"/>
      </w:pPr>
      <w:r w:rsidRPr="00B62597">
        <w:t xml:space="preserve">Public Meetings/Media Participation: </w:t>
      </w:r>
    </w:p>
    <w:p w14:paraId="207C3B1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58F3499A" w14:textId="77777777" w:rsidR="00A93B09" w:rsidRDefault="00A93B09" w:rsidP="00A93B09">
      <w:pPr>
        <w:pStyle w:val="DisclaimerHeading"/>
        <w:spacing w:before="240"/>
      </w:pPr>
      <w:r w:rsidRPr="00A93B09">
        <w:t xml:space="preserve"> </w:t>
      </w:r>
      <w:r>
        <w:t>Participant Identification in WebEx:</w:t>
      </w:r>
    </w:p>
    <w:p w14:paraId="085B82E6"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39B95EE3"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177A0030" w14:textId="77777777" w:rsidR="00A93B09" w:rsidRDefault="00A93B09" w:rsidP="00A93B09">
      <w:pPr>
        <w:pStyle w:val="DisclosureBody"/>
      </w:pPr>
    </w:p>
    <w:p w14:paraId="41C97E64" w14:textId="003D0F23" w:rsidR="0035543D" w:rsidRDefault="0035543D" w:rsidP="00A93B09">
      <w:pPr>
        <w:pStyle w:val="DisclaimerHeading"/>
      </w:pPr>
      <w:r w:rsidRPr="008F77F0">
        <w:rPr>
          <w:noProof/>
        </w:rPr>
        <w:drawing>
          <wp:inline distT="0" distB="0" distL="0" distR="0" wp14:anchorId="6C883DD2" wp14:editId="41B8955A">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14:paraId="417A6710" w14:textId="149318D3" w:rsidR="0035543D" w:rsidRDefault="0035543D" w:rsidP="00A93B09">
      <w:pPr>
        <w:pStyle w:val="DisclaimerHeading"/>
      </w:pPr>
    </w:p>
    <w:p w14:paraId="6A2C01A9" w14:textId="77777777" w:rsidR="0035543D" w:rsidRDefault="0035543D" w:rsidP="00A93B09">
      <w:pPr>
        <w:pStyle w:val="DisclaimerHeading"/>
      </w:pPr>
    </w:p>
    <w:p w14:paraId="4EF4AE65" w14:textId="04D3D271" w:rsidR="0035543D" w:rsidRDefault="0035543D" w:rsidP="00A93B09">
      <w:pPr>
        <w:pStyle w:val="DisclaimerHeading"/>
      </w:pPr>
      <w:r w:rsidRPr="00581A41">
        <w:rPr>
          <w:noProof/>
        </w:rPr>
        <w:drawing>
          <wp:inline distT="0" distB="0" distL="0" distR="0" wp14:anchorId="75C69BE1" wp14:editId="5F570271">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4D3CF871" w14:textId="53A7C34C" w:rsidR="0035543D" w:rsidRDefault="0035543D" w:rsidP="00A93B09">
      <w:pPr>
        <w:pStyle w:val="DisclaimerHeading"/>
      </w:pPr>
      <w:r>
        <w:rPr>
          <w:noProof/>
        </w:rPr>
        <w:lastRenderedPageBreak/>
        <mc:AlternateContent>
          <mc:Choice Requires="wps">
            <w:drawing>
              <wp:anchor distT="0" distB="0" distL="114300" distR="114300" simplePos="0" relativeHeight="251661312" behindDoc="0" locked="0" layoutInCell="1" allowOverlap="1" wp14:anchorId="65FC12DF" wp14:editId="126CF42B">
                <wp:simplePos x="0" y="0"/>
                <wp:positionH relativeFrom="column">
                  <wp:posOffset>0</wp:posOffset>
                </wp:positionH>
                <wp:positionV relativeFrom="paragraph">
                  <wp:posOffset>114300</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454EF" w14:textId="77777777" w:rsidR="0038583C" w:rsidRPr="0025139E" w:rsidRDefault="0038583C" w:rsidP="0035543D">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C12DF" id="_x0000_t202" coordsize="21600,21600" o:spt="202" path="m,l,21600r21600,l21600,xe">
                <v:stroke joinstyle="miter"/>
                <v:path gradientshapeok="t" o:connecttype="rect"/>
              </v:shapetype>
              <v:shape id="Text Box 7" o:spid="_x0000_s1026" type="#_x0000_t202" style="position:absolute;margin-left:0;margin-top:9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" fillcolor="#f2f2f2 [3052]" stroked="f" strokeweight=".5pt">
                <v:textbox>
                  <w:txbxContent>
                    <w:p w14:paraId="6E1454EF" w14:textId="77777777" w:rsidR="0038583C" w:rsidRPr="0025139E" w:rsidRDefault="0038583C" w:rsidP="0035543D">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3E65DD1F" w14:textId="38A53ABE" w:rsidR="00A93B09" w:rsidRDefault="00A93B09" w:rsidP="00A93B09">
      <w:pPr>
        <w:pStyle w:val="DisclaimerHeading"/>
      </w:pPr>
    </w:p>
    <w:p w14:paraId="64E0C421" w14:textId="77777777" w:rsidR="00A93B09" w:rsidRDefault="00A93B09" w:rsidP="00A93B09">
      <w:pPr>
        <w:pStyle w:val="DisclaimerHeading"/>
      </w:pPr>
    </w:p>
    <w:p w14:paraId="1DD105F9" w14:textId="0B45DDE7" w:rsidR="00A93B09" w:rsidRDefault="00A93B09" w:rsidP="00A93B09">
      <w:pPr>
        <w:pStyle w:val="DisclaimerHeading"/>
      </w:pPr>
    </w:p>
    <w:p w14:paraId="76DEEF14" w14:textId="77777777" w:rsidR="0057441E" w:rsidRDefault="0057441E" w:rsidP="00491490">
      <w:pPr>
        <w:pStyle w:val="DisclaimerHeading"/>
      </w:pPr>
    </w:p>
    <w:sectPr w:rsidR="0057441E" w:rsidSect="00F15DE2">
      <w:headerReference w:type="default" r:id="rId13"/>
      <w:footerReference w:type="even" r:id="rId14"/>
      <w:footerReference w:type="default" r:id="rId15"/>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B40AE" w14:textId="77777777" w:rsidR="00853567" w:rsidRDefault="00853567" w:rsidP="00B62597">
      <w:pPr>
        <w:spacing w:after="0" w:line="240" w:lineRule="auto"/>
      </w:pPr>
      <w:r>
        <w:separator/>
      </w:r>
    </w:p>
  </w:endnote>
  <w:endnote w:type="continuationSeparator" w:id="0">
    <w:p w14:paraId="5A6F64E5" w14:textId="77777777" w:rsidR="00853567" w:rsidRDefault="0085356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1E71" w14:textId="77777777" w:rsidR="0038583C" w:rsidRDefault="00385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48C5AB" w14:textId="77777777" w:rsidR="0038583C" w:rsidRDefault="00385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D086" w14:textId="0275FDA1" w:rsidR="0038583C" w:rsidRDefault="0038583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4D8D">
      <w:rPr>
        <w:rStyle w:val="PageNumber"/>
        <w:noProof/>
      </w:rPr>
      <w:t>1</w:t>
    </w:r>
    <w:r>
      <w:rPr>
        <w:rStyle w:val="PageNumber"/>
      </w:rPr>
      <w:fldChar w:fldCharType="end"/>
    </w:r>
  </w:p>
  <w:p w14:paraId="6E0C6D95" w14:textId="4C22BBAE" w:rsidR="0038583C" w:rsidRPr="00F15DE2" w:rsidRDefault="0038583C">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E4BC811" wp14:editId="0C46F2A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F38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3C3EE8">
      <w:rPr>
        <w:rFonts w:ascii="Arial Narrow" w:hAnsi="Arial Narrow"/>
        <w:sz w:val="20"/>
      </w:rPr>
      <w:t>20</w:t>
    </w:r>
    <w:r>
      <w:rPr>
        <w:rFonts w:ascii="Arial Narrow" w:hAnsi="Arial Narrow"/>
        <w:sz w:val="20"/>
      </w:rPr>
      <w:tab/>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28137" w14:textId="77777777" w:rsidR="00853567" w:rsidRDefault="00853567" w:rsidP="00B62597">
      <w:pPr>
        <w:spacing w:after="0" w:line="240" w:lineRule="auto"/>
      </w:pPr>
      <w:r>
        <w:separator/>
      </w:r>
    </w:p>
  </w:footnote>
  <w:footnote w:type="continuationSeparator" w:id="0">
    <w:p w14:paraId="06E17E2C" w14:textId="77777777" w:rsidR="00853567" w:rsidRDefault="0085356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1C87" w14:textId="21D4EAAD" w:rsidR="0038583C" w:rsidRDefault="0038583C">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983CE72" wp14:editId="3093DAC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274A47" w14:textId="766F02F1" w:rsidR="0038583C" w:rsidRPr="001D3B68" w:rsidRDefault="0038583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3CE7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274A47" w14:textId="766F02F1" w:rsidR="0038583C" w:rsidRPr="001D3B68" w:rsidRDefault="0038583C"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33C1B2B" wp14:editId="23EB2088">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8600A"/>
    <w:multiLevelType w:val="hybridMultilevel"/>
    <w:tmpl w:val="64465E6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C6791"/>
    <w:multiLevelType w:val="hybridMultilevel"/>
    <w:tmpl w:val="96F83B2C"/>
    <w:lvl w:ilvl="0" w:tplc="519424A8">
      <w:start w:val="1"/>
      <w:numFmt w:val="decimal"/>
      <w:lvlText w:val="%1."/>
      <w:lvlJc w:val="left"/>
      <w:pPr>
        <w:ind w:left="-1080" w:hanging="360"/>
      </w:pPr>
      <w:rPr>
        <w:rFonts w:hint="default"/>
        <w:b w:val="0"/>
        <w:color w:val="auto"/>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 w15:restartNumberingAfterBreak="0">
    <w:nsid w:val="21F67FBB"/>
    <w:multiLevelType w:val="hybridMultilevel"/>
    <w:tmpl w:val="4BECF4E6"/>
    <w:lvl w:ilvl="0" w:tplc="0409000F">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62737A"/>
    <w:multiLevelType w:val="hybridMultilevel"/>
    <w:tmpl w:val="DE9A484E"/>
    <w:lvl w:ilvl="0" w:tplc="04090015">
      <w:start w:val="1"/>
      <w:numFmt w:val="upperLetter"/>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B079C"/>
    <w:multiLevelType w:val="hybridMultilevel"/>
    <w:tmpl w:val="29F06806"/>
    <w:lvl w:ilvl="0" w:tplc="C4A0A0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C84BB6"/>
    <w:multiLevelType w:val="hybridMultilevel"/>
    <w:tmpl w:val="A04ADDA8"/>
    <w:lvl w:ilvl="0" w:tplc="64301C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4B433C"/>
    <w:multiLevelType w:val="hybridMultilevel"/>
    <w:tmpl w:val="DCDA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E0BA6"/>
    <w:multiLevelType w:val="hybridMultilevel"/>
    <w:tmpl w:val="D4B4966C"/>
    <w:lvl w:ilvl="0" w:tplc="3BBE69D0">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9"/>
  </w:num>
  <w:num w:numId="6">
    <w:abstractNumId w:val="7"/>
  </w:num>
  <w:num w:numId="7">
    <w:abstractNumId w:val="6"/>
  </w:num>
  <w:num w:numId="8">
    <w:abstractNumId w:val="5"/>
  </w:num>
  <w:num w:numId="9">
    <w:abstractNumId w:val="4"/>
  </w:num>
  <w:num w:numId="10">
    <w:abstractNumId w:val="8"/>
  </w:num>
  <w:num w:numId="11">
    <w:abstractNumId w:val="2"/>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3587A"/>
    <w:rsid w:val="00044493"/>
    <w:rsid w:val="000549C5"/>
    <w:rsid w:val="00060017"/>
    <w:rsid w:val="0008614F"/>
    <w:rsid w:val="000B11B7"/>
    <w:rsid w:val="000B61DB"/>
    <w:rsid w:val="000B679B"/>
    <w:rsid w:val="000C16A0"/>
    <w:rsid w:val="000C592E"/>
    <w:rsid w:val="000C6326"/>
    <w:rsid w:val="000E2797"/>
    <w:rsid w:val="00187DFC"/>
    <w:rsid w:val="00195387"/>
    <w:rsid w:val="001A0DED"/>
    <w:rsid w:val="001A2CB2"/>
    <w:rsid w:val="001A32CE"/>
    <w:rsid w:val="001A6C8B"/>
    <w:rsid w:val="001B2242"/>
    <w:rsid w:val="001B4CA1"/>
    <w:rsid w:val="001D3B68"/>
    <w:rsid w:val="001F2D2E"/>
    <w:rsid w:val="002071C3"/>
    <w:rsid w:val="00212260"/>
    <w:rsid w:val="00254D8D"/>
    <w:rsid w:val="00283377"/>
    <w:rsid w:val="002A2D64"/>
    <w:rsid w:val="002B2F98"/>
    <w:rsid w:val="002C1B2F"/>
    <w:rsid w:val="002D1563"/>
    <w:rsid w:val="002D6377"/>
    <w:rsid w:val="00305238"/>
    <w:rsid w:val="00306394"/>
    <w:rsid w:val="00307FCC"/>
    <w:rsid w:val="0033085D"/>
    <w:rsid w:val="00334674"/>
    <w:rsid w:val="00337321"/>
    <w:rsid w:val="0034196B"/>
    <w:rsid w:val="00343508"/>
    <w:rsid w:val="00351124"/>
    <w:rsid w:val="0035543D"/>
    <w:rsid w:val="00377F2A"/>
    <w:rsid w:val="0038583C"/>
    <w:rsid w:val="00391F23"/>
    <w:rsid w:val="003B0B48"/>
    <w:rsid w:val="003B465C"/>
    <w:rsid w:val="003B55E1"/>
    <w:rsid w:val="003C3EE8"/>
    <w:rsid w:val="003D700B"/>
    <w:rsid w:val="003D7E5C"/>
    <w:rsid w:val="003E7A73"/>
    <w:rsid w:val="00411A78"/>
    <w:rsid w:val="00421A64"/>
    <w:rsid w:val="00425854"/>
    <w:rsid w:val="00427DCC"/>
    <w:rsid w:val="004344D5"/>
    <w:rsid w:val="004545AA"/>
    <w:rsid w:val="0047412C"/>
    <w:rsid w:val="00474F01"/>
    <w:rsid w:val="00491490"/>
    <w:rsid w:val="004969FA"/>
    <w:rsid w:val="004A3B9A"/>
    <w:rsid w:val="004B0F22"/>
    <w:rsid w:val="004C0DFE"/>
    <w:rsid w:val="004D599D"/>
    <w:rsid w:val="004D7CAA"/>
    <w:rsid w:val="004E5C6E"/>
    <w:rsid w:val="004F63D0"/>
    <w:rsid w:val="00504E6B"/>
    <w:rsid w:val="005422CD"/>
    <w:rsid w:val="0055507C"/>
    <w:rsid w:val="0056196C"/>
    <w:rsid w:val="00564DEE"/>
    <w:rsid w:val="0057441E"/>
    <w:rsid w:val="00583692"/>
    <w:rsid w:val="005966A3"/>
    <w:rsid w:val="005B12CF"/>
    <w:rsid w:val="005B694C"/>
    <w:rsid w:val="005B6EBE"/>
    <w:rsid w:val="005D3E3A"/>
    <w:rsid w:val="005D6D05"/>
    <w:rsid w:val="005E15D7"/>
    <w:rsid w:val="005F1E42"/>
    <w:rsid w:val="00602967"/>
    <w:rsid w:val="00604227"/>
    <w:rsid w:val="00606C3C"/>
    <w:rsid w:val="00630DFC"/>
    <w:rsid w:val="00632525"/>
    <w:rsid w:val="006450B8"/>
    <w:rsid w:val="00645654"/>
    <w:rsid w:val="006471D5"/>
    <w:rsid w:val="0066494F"/>
    <w:rsid w:val="0066763A"/>
    <w:rsid w:val="006B1CE7"/>
    <w:rsid w:val="006C472C"/>
    <w:rsid w:val="006D39F6"/>
    <w:rsid w:val="006E2BA1"/>
    <w:rsid w:val="006E55A1"/>
    <w:rsid w:val="006F3BEE"/>
    <w:rsid w:val="006F4045"/>
    <w:rsid w:val="00712CAA"/>
    <w:rsid w:val="00716A8B"/>
    <w:rsid w:val="0073753E"/>
    <w:rsid w:val="007436B1"/>
    <w:rsid w:val="00754C6D"/>
    <w:rsid w:val="00755096"/>
    <w:rsid w:val="00766534"/>
    <w:rsid w:val="0078537F"/>
    <w:rsid w:val="00797C7B"/>
    <w:rsid w:val="007A34A3"/>
    <w:rsid w:val="007A38AD"/>
    <w:rsid w:val="007C7748"/>
    <w:rsid w:val="00823004"/>
    <w:rsid w:val="00825B46"/>
    <w:rsid w:val="0083474A"/>
    <w:rsid w:val="00837B12"/>
    <w:rsid w:val="00853567"/>
    <w:rsid w:val="00853A9B"/>
    <w:rsid w:val="008559B5"/>
    <w:rsid w:val="00871158"/>
    <w:rsid w:val="00882652"/>
    <w:rsid w:val="0088561C"/>
    <w:rsid w:val="00891BA1"/>
    <w:rsid w:val="008925E5"/>
    <w:rsid w:val="0089350D"/>
    <w:rsid w:val="00895F08"/>
    <w:rsid w:val="00917386"/>
    <w:rsid w:val="009346EB"/>
    <w:rsid w:val="0094525B"/>
    <w:rsid w:val="00945760"/>
    <w:rsid w:val="009639FD"/>
    <w:rsid w:val="0098600A"/>
    <w:rsid w:val="009902B1"/>
    <w:rsid w:val="009A5430"/>
    <w:rsid w:val="009F1A60"/>
    <w:rsid w:val="009F2114"/>
    <w:rsid w:val="009F52D5"/>
    <w:rsid w:val="00A05391"/>
    <w:rsid w:val="00A1554D"/>
    <w:rsid w:val="00A24DCB"/>
    <w:rsid w:val="00A317A9"/>
    <w:rsid w:val="00A40C2B"/>
    <w:rsid w:val="00A61BFC"/>
    <w:rsid w:val="00A91D8B"/>
    <w:rsid w:val="00A93B09"/>
    <w:rsid w:val="00AA0B6F"/>
    <w:rsid w:val="00AA7B06"/>
    <w:rsid w:val="00AC16D8"/>
    <w:rsid w:val="00AC7F23"/>
    <w:rsid w:val="00AE3994"/>
    <w:rsid w:val="00AE5BC6"/>
    <w:rsid w:val="00AE7537"/>
    <w:rsid w:val="00B16D95"/>
    <w:rsid w:val="00B20316"/>
    <w:rsid w:val="00B34E3C"/>
    <w:rsid w:val="00B45F9D"/>
    <w:rsid w:val="00B62597"/>
    <w:rsid w:val="00B72245"/>
    <w:rsid w:val="00B72A0E"/>
    <w:rsid w:val="00B77658"/>
    <w:rsid w:val="00BA6146"/>
    <w:rsid w:val="00BB531B"/>
    <w:rsid w:val="00BD20D6"/>
    <w:rsid w:val="00BD470F"/>
    <w:rsid w:val="00BE5F83"/>
    <w:rsid w:val="00BF331B"/>
    <w:rsid w:val="00C20236"/>
    <w:rsid w:val="00C2217C"/>
    <w:rsid w:val="00C439EC"/>
    <w:rsid w:val="00C72168"/>
    <w:rsid w:val="00C90232"/>
    <w:rsid w:val="00CA49B9"/>
    <w:rsid w:val="00CC1B47"/>
    <w:rsid w:val="00CD254E"/>
    <w:rsid w:val="00CD2F4D"/>
    <w:rsid w:val="00CE0B37"/>
    <w:rsid w:val="00CE2D6C"/>
    <w:rsid w:val="00CE2EB5"/>
    <w:rsid w:val="00D0626E"/>
    <w:rsid w:val="00D12691"/>
    <w:rsid w:val="00D136EA"/>
    <w:rsid w:val="00D231C7"/>
    <w:rsid w:val="00D24174"/>
    <w:rsid w:val="00D251ED"/>
    <w:rsid w:val="00D2673E"/>
    <w:rsid w:val="00D62211"/>
    <w:rsid w:val="00D71807"/>
    <w:rsid w:val="00D80D50"/>
    <w:rsid w:val="00D94FCC"/>
    <w:rsid w:val="00D95949"/>
    <w:rsid w:val="00DB29E9"/>
    <w:rsid w:val="00DB6238"/>
    <w:rsid w:val="00DE34CF"/>
    <w:rsid w:val="00E15D94"/>
    <w:rsid w:val="00E1605D"/>
    <w:rsid w:val="00E55485"/>
    <w:rsid w:val="00E715E8"/>
    <w:rsid w:val="00E9195F"/>
    <w:rsid w:val="00E91F3A"/>
    <w:rsid w:val="00E96E8D"/>
    <w:rsid w:val="00EA303F"/>
    <w:rsid w:val="00EA6D26"/>
    <w:rsid w:val="00EB1D33"/>
    <w:rsid w:val="00EB68B0"/>
    <w:rsid w:val="00EB712E"/>
    <w:rsid w:val="00EC2BC9"/>
    <w:rsid w:val="00EC3FC5"/>
    <w:rsid w:val="00EE1479"/>
    <w:rsid w:val="00F014B2"/>
    <w:rsid w:val="00F02116"/>
    <w:rsid w:val="00F15DE2"/>
    <w:rsid w:val="00F25183"/>
    <w:rsid w:val="00F33707"/>
    <w:rsid w:val="00F4190F"/>
    <w:rsid w:val="00F81D60"/>
    <w:rsid w:val="00F85159"/>
    <w:rsid w:val="00F93EFD"/>
    <w:rsid w:val="00FC2B9A"/>
    <w:rsid w:val="00FC2CA5"/>
    <w:rsid w:val="00FC7AE1"/>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0C69B"/>
  <w15:docId w15:val="{D21D4CC9-D7B8-44CB-A232-6B3DC0E7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4"/>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941">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578436364">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2051682906">
      <w:bodyDiv w:val="1"/>
      <w:marLeft w:val="0"/>
      <w:marRight w:val="0"/>
      <w:marTop w:val="0"/>
      <w:marBottom w:val="0"/>
      <w:divBdr>
        <w:top w:val="none" w:sz="0" w:space="0" w:color="auto"/>
        <w:left w:val="none" w:sz="0" w:space="0" w:color="auto"/>
        <w:bottom w:val="none" w:sz="0" w:space="0" w:color="auto"/>
        <w:right w:val="none" w:sz="0" w:space="0" w:color="auto"/>
      </w:divBdr>
    </w:div>
    <w:div w:id="21366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1084</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Greening, Michele, H</dc:creator>
  <cp:keywords/>
  <dc:description/>
  <cp:lastModifiedBy>Gluck, James R.</cp:lastModifiedBy>
  <cp:revision>8</cp:revision>
  <cp:lastPrinted>2019-11-26T20:39:00Z</cp:lastPrinted>
  <dcterms:created xsi:type="dcterms:W3CDTF">2020-01-07T22:30:00Z</dcterms:created>
  <dcterms:modified xsi:type="dcterms:W3CDTF">2020-01-08T22:20:00Z</dcterms:modified>
</cp:coreProperties>
</file>