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F16868" w:rsidRPr="00B62597" w:rsidP="00F16868">
      <w:pPr>
        <w:pStyle w:val="MeetingDetails"/>
      </w:pPr>
      <w:bookmarkStart w:id="0" w:name="_GoBack"/>
      <w:bookmarkEnd w:id="0"/>
      <w:r>
        <w:t xml:space="preserve">Special MRC: </w:t>
      </w:r>
      <w:r w:rsidRPr="00082FAC">
        <w:rPr>
          <w:rFonts w:cs="Calibri"/>
          <w:color w:val="000000"/>
        </w:rPr>
        <w:t>Black Start Unit Involuntary Termination and Substitution Rules</w:t>
      </w:r>
    </w:p>
    <w:p w:rsidR="00F16868" w:rsidRPr="00B62597" w:rsidP="00F16868">
      <w:pPr>
        <w:pStyle w:val="MeetingDetails"/>
      </w:pPr>
      <w:r>
        <w:t xml:space="preserve">Teleconference/ </w:t>
      </w:r>
      <w:r>
        <w:t>Webex</w:t>
      </w:r>
    </w:p>
    <w:p w:rsidR="00F16868" w:rsidRPr="00B62597" w:rsidP="00F16868">
      <w:pPr>
        <w:pStyle w:val="MeetingDetails"/>
      </w:pPr>
      <w:r>
        <w:t>February 16, 2021</w:t>
      </w:r>
    </w:p>
    <w:p w:rsidR="00F16868" w:rsidRPr="00B62597" w:rsidP="00F16868">
      <w:pPr>
        <w:pStyle w:val="MeetingDetails"/>
        <w:rPr>
          <w:sz w:val="28"/>
          <w:u w:val="single"/>
        </w:rPr>
      </w:pPr>
      <w:r>
        <w:t>3:00 p.m. – 5:00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F16868">
        <w:t>on (3:00 – 3:05)</w:t>
      </w:r>
    </w:p>
    <w:bookmarkEnd w:id="1"/>
    <w:bookmarkEnd w:id="2"/>
    <w:p w:rsidR="00B62597" w:rsidRPr="00F16868" w:rsidP="00F16868">
      <w:pPr>
        <w:pStyle w:val="SecondaryHeading-Numbered"/>
        <w:numPr>
          <w:ilvl w:val="0"/>
          <w:numId w:val="0"/>
        </w:numPr>
        <w:ind w:left="360"/>
        <w:rPr>
          <w:b w:val="0"/>
        </w:rPr>
      </w:pPr>
      <w:r w:rsidRPr="00F16868">
        <w:rPr>
          <w:b w:val="0"/>
        </w:rPr>
        <w:t xml:space="preserve">Welcome, announcements and Anti-trust, Code of Conduct, and Public Meetings/Media Participation - </w:t>
      </w:r>
      <w:r w:rsidRPr="007B1751">
        <w:rPr>
          <w:b w:val="0"/>
        </w:rPr>
        <w:t>Dave Anders</w:t>
      </w:r>
    </w:p>
    <w:p w:rsidR="001D3B68" w:rsidRPr="00DB29E9" w:rsidP="007C2954">
      <w:pPr>
        <w:pStyle w:val="PrimaryHeading"/>
      </w:pPr>
      <w:r>
        <w:t xml:space="preserve">Working Item (3:05 – 4:55) </w:t>
      </w:r>
    </w:p>
    <w:p w:rsidR="007B1751" w:rsidP="007B1751">
      <w:pPr>
        <w:pStyle w:val="SecondaryHeading-Numbered"/>
        <w:numPr>
          <w:ilvl w:val="0"/>
          <w:numId w:val="0"/>
        </w:numPr>
        <w:ind w:left="360" w:hanging="360"/>
        <w:rPr>
          <w:rFonts w:cs="Calibri"/>
          <w:b w:val="0"/>
          <w:color w:val="000000"/>
          <w:szCs w:val="24"/>
        </w:rPr>
      </w:pPr>
      <w:r>
        <w:rPr>
          <w:szCs w:val="24"/>
        </w:rPr>
        <w:tab/>
      </w:r>
      <w:r w:rsidRPr="007B1751">
        <w:rPr>
          <w:b w:val="0"/>
          <w:szCs w:val="24"/>
        </w:rPr>
        <w:t>1.</w:t>
      </w:r>
      <w:r>
        <w:rPr>
          <w:szCs w:val="24"/>
        </w:rPr>
        <w:t xml:space="preserve"> </w:t>
      </w:r>
      <w:r w:rsidRPr="00F16868">
        <w:rPr>
          <w:b w:val="0"/>
          <w:szCs w:val="24"/>
        </w:rPr>
        <w:t xml:space="preserve">Greg Poulos, on </w:t>
      </w:r>
      <w:r w:rsidRPr="00F16868">
        <w:rPr>
          <w:rFonts w:cs="Calibri"/>
          <w:b w:val="0"/>
          <w:color w:val="000000"/>
          <w:szCs w:val="24"/>
        </w:rPr>
        <w:t>behalf of Delaware Division of the Public Advocate, will present a</w:t>
      </w:r>
      <w:r w:rsidRPr="00F16868">
        <w:rPr>
          <w:b w:val="0"/>
          <w:szCs w:val="24"/>
        </w:rPr>
        <w:t xml:space="preserve"> </w:t>
      </w:r>
      <w:r w:rsidRPr="00F16868">
        <w:rPr>
          <w:rFonts w:cs="Calibri"/>
          <w:b w:val="0"/>
          <w:color w:val="000000"/>
          <w:szCs w:val="24"/>
        </w:rPr>
        <w:t>detailed review of his Black Start Termination, Substitution, Capital Recovery Factor (CRF) and Minimum Tank Suction Level (MTSL) proposal.</w:t>
      </w:r>
    </w:p>
    <w:p w:rsidR="00D46EF2" w:rsidP="00D46EF2">
      <w:pPr>
        <w:pStyle w:val="SecondaryHeading-Numbered"/>
        <w:numPr>
          <w:ilvl w:val="0"/>
          <w:numId w:val="0"/>
        </w:numPr>
        <w:ind w:left="360" w:hanging="360"/>
        <w:rPr>
          <w:b w:val="0"/>
          <w:szCs w:val="24"/>
        </w:rPr>
      </w:pPr>
      <w:r>
        <w:rPr>
          <w:b w:val="0"/>
          <w:szCs w:val="24"/>
        </w:rPr>
        <w:tab/>
        <w:t xml:space="preserve">2. Sharon Midgley, Exelon and Dave Mabry, PJM ICC </w:t>
      </w:r>
      <w:r w:rsidR="00CE1A03">
        <w:rPr>
          <w:b w:val="0"/>
          <w:szCs w:val="24"/>
        </w:rPr>
        <w:t xml:space="preserve">will </w:t>
      </w:r>
      <w:r>
        <w:rPr>
          <w:b w:val="0"/>
          <w:szCs w:val="24"/>
        </w:rPr>
        <w:t>review</w:t>
      </w:r>
      <w:r>
        <w:rPr>
          <w:b w:val="0"/>
          <w:szCs w:val="24"/>
        </w:rPr>
        <w:t xml:space="preserve"> a potential compromise proposal</w:t>
      </w:r>
    </w:p>
    <w:p w:rsidR="00D46EF2" w:rsidRPr="00D46EF2" w:rsidP="00D46EF2">
      <w:pPr>
        <w:pStyle w:val="SecondaryHeading-Numbered"/>
        <w:numPr>
          <w:ilvl w:val="0"/>
          <w:numId w:val="0"/>
        </w:numPr>
        <w:ind w:left="360"/>
        <w:rPr>
          <w:b w:val="0"/>
        </w:rPr>
      </w:pPr>
      <w:r w:rsidRPr="00D46EF2">
        <w:rPr>
          <w:b w:val="0"/>
        </w:rPr>
        <w:t>3. Marji Philips, LS Power, will discuss the contract versus Tariff nature of Black Start resource commitment.</w:t>
      </w:r>
    </w:p>
    <w:p w:rsidR="001B2242" w:rsidRPr="00F16868" w:rsidP="00F16868">
      <w:pPr>
        <w:pStyle w:val="SecondaryHeading-Numbered"/>
        <w:numPr>
          <w:ilvl w:val="0"/>
          <w:numId w:val="0"/>
        </w:numPr>
        <w:ind w:left="360" w:hanging="360"/>
        <w:rPr>
          <w:b w:val="0"/>
          <w:szCs w:val="24"/>
        </w:rPr>
      </w:pPr>
      <w:r w:rsidRPr="00F16868">
        <w:rPr>
          <w:b w:val="0"/>
          <w:szCs w:val="24"/>
        </w:rPr>
        <w:tab/>
      </w:r>
      <w:hyperlink r:id="rId4" w:history="1">
        <w:r w:rsidRPr="00F16868">
          <w:rPr>
            <w:rStyle w:val="Hyperlink"/>
            <w:b w:val="0"/>
            <w:szCs w:val="24"/>
          </w:rPr>
          <w:t>Issues Tracking</w:t>
        </w:r>
      </w:hyperlink>
      <w:hyperlink r:id="rId4" w:history="1">
        <w:r w:rsidRPr="00F16868">
          <w:rPr>
            <w:rStyle w:val="Hyperlink"/>
            <w:rFonts w:cs="Calibri"/>
            <w:b w:val="0"/>
            <w:szCs w:val="24"/>
          </w:rPr>
          <w:t>: Black Start Unit Involuntary Termination and Substitution Rules</w:t>
        </w:r>
      </w:hyperlink>
      <w:r>
        <w:rPr>
          <w:b w:val="0"/>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0"/>
        <w:gridCol w:w="3120"/>
        <w:gridCol w:w="3120"/>
      </w:tblGrid>
      <w:tr w:rsidTr="00F1686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Next Steps (4:55 – 5:00</w:t>
            </w:r>
            <w:r>
              <w:t>)</w:t>
            </w:r>
          </w:p>
        </w:tc>
      </w:tr>
      <w:tr w:rsidTr="00F16868">
        <w:tblPrEx>
          <w:tblW w:w="0" w:type="auto"/>
          <w:tblCellMar>
            <w:left w:w="144" w:type="dxa"/>
            <w:right w:w="115" w:type="dxa"/>
          </w:tblCellMar>
          <w:tblLook w:val="04A0"/>
        </w:tblPrEx>
        <w:trPr>
          <w:trHeight w:val="296"/>
        </w:trPr>
        <w:tc>
          <w:tcPr>
            <w:tcW w:w="9360" w:type="dxa"/>
            <w:gridSpan w:val="3"/>
          </w:tcPr>
          <w:p w:rsidR="00BB531B" w:rsidRPr="00777F15" w:rsidP="00777F15">
            <w:pPr>
              <w:pStyle w:val="SecondaryHeading-Numbered"/>
              <w:numPr>
                <w:ilvl w:val="0"/>
                <w:numId w:val="0"/>
              </w:numPr>
              <w:ind w:left="360"/>
              <w:rPr>
                <w:b w:val="0"/>
              </w:rPr>
            </w:pPr>
            <w:r w:rsidRPr="00777F15">
              <w:rPr>
                <w:b w:val="0"/>
              </w:rPr>
              <w:t>4. Dave Anders, PJM will lead a discussion of next steps</w:t>
            </w:r>
          </w:p>
        </w:tc>
      </w:tr>
      <w:tr w:rsidTr="00F16868">
        <w:tblPrEx>
          <w:tblW w:w="0" w:type="auto"/>
          <w:tblCellMar>
            <w:left w:w="144" w:type="dxa"/>
            <w:right w:w="115" w:type="dxa"/>
          </w:tblCellMar>
          <w:tblLook w:val="04A0"/>
        </w:tblPrEx>
        <w:tc>
          <w:tcPr>
            <w:tcW w:w="3120" w:type="dxa"/>
            <w:vAlign w:val="center"/>
          </w:tcPr>
          <w:p w:rsidR="00BB531B" w:rsidRPr="00B62597" w:rsidP="0006798D">
            <w:pPr>
              <w:pStyle w:val="AttendeesList"/>
            </w:pPr>
          </w:p>
        </w:tc>
        <w:tc>
          <w:tcPr>
            <w:tcW w:w="3120" w:type="dxa"/>
            <w:vAlign w:val="center"/>
          </w:tcPr>
          <w:p w:rsidR="00BB531B" w:rsidRPr="00B62597" w:rsidP="00010057">
            <w:pPr>
              <w:pStyle w:val="AttendeesList"/>
            </w:pPr>
          </w:p>
        </w:tc>
        <w:tc>
          <w:tcPr>
            <w:tcW w:w="3120" w:type="dxa"/>
            <w:vAlign w:val="center"/>
          </w:tcPr>
          <w:p w:rsidR="00BB531B" w:rsidRPr="00B62597" w:rsidP="00BB531B">
            <w:pPr>
              <w:pStyle w:val="AttendeesList"/>
            </w:pPr>
          </w:p>
        </w:tc>
      </w:tr>
      <w:tr w:rsidTr="00F16868">
        <w:tblPrEx>
          <w:tblW w:w="0" w:type="auto"/>
          <w:tblCellMar>
            <w:left w:w="144" w:type="dxa"/>
            <w:right w:w="115" w:type="dxa"/>
          </w:tblCellMar>
          <w:tblLook w:val="04A0"/>
        </w:tblPrEx>
        <w:tc>
          <w:tcPr>
            <w:tcW w:w="3120" w:type="dxa"/>
            <w:vAlign w:val="center"/>
          </w:tcPr>
          <w:p w:rsidR="002B2F98" w:rsidRPr="00B62597" w:rsidP="00AC2247">
            <w:pPr>
              <w:pStyle w:val="AttendeesList"/>
            </w:pPr>
          </w:p>
        </w:tc>
        <w:tc>
          <w:tcPr>
            <w:tcW w:w="3120" w:type="dxa"/>
            <w:vAlign w:val="center"/>
          </w:tcPr>
          <w:p w:rsidR="002B2F98" w:rsidRPr="00B62597" w:rsidP="00ED56D5">
            <w:pPr>
              <w:pStyle w:val="AttendeesList"/>
            </w:pPr>
          </w:p>
        </w:tc>
        <w:tc>
          <w:tcPr>
            <w:tcW w:w="3120" w:type="dxa"/>
            <w:vAlign w:val="center"/>
          </w:tcPr>
          <w:p w:rsidR="002B2F98" w:rsidRPr="00B62597" w:rsidP="00ED56D5">
            <w:pPr>
              <w:pStyle w:val="AttendeesList"/>
            </w:pPr>
          </w:p>
        </w:tc>
      </w:tr>
      <w:tr w:rsidTr="00F16868">
        <w:tblPrEx>
          <w:tblW w:w="0" w:type="auto"/>
          <w:tblCellMar>
            <w:left w:w="144" w:type="dxa"/>
            <w:right w:w="115" w:type="dxa"/>
          </w:tblCellMar>
          <w:tblLook w:val="04A0"/>
        </w:tblPrEx>
        <w:tc>
          <w:tcPr>
            <w:tcW w:w="3120" w:type="dxa"/>
            <w:vAlign w:val="center"/>
          </w:tcPr>
          <w:p w:rsidR="002B2F98" w:rsidRPr="00B62597" w:rsidP="00AC2247">
            <w:pPr>
              <w:pStyle w:val="AttendeesList"/>
            </w:pPr>
          </w:p>
        </w:tc>
        <w:tc>
          <w:tcPr>
            <w:tcW w:w="3120" w:type="dxa"/>
            <w:vAlign w:val="center"/>
          </w:tcPr>
          <w:p w:rsidR="002B2F98" w:rsidRPr="00B62597" w:rsidP="00ED56D5">
            <w:pPr>
              <w:pStyle w:val="AttendeesList"/>
            </w:pPr>
          </w:p>
        </w:tc>
        <w:tc>
          <w:tcPr>
            <w:tcW w:w="3120" w:type="dxa"/>
            <w:vAlign w:val="center"/>
          </w:tcPr>
          <w:p w:rsidR="002B2F98" w:rsidRPr="00B62597" w:rsidP="00ED56D5">
            <w:pPr>
              <w:pStyle w:val="AttendeesList"/>
            </w:pPr>
          </w:p>
        </w:tc>
      </w:tr>
      <w:tr w:rsidTr="00F16868">
        <w:tblPrEx>
          <w:tblW w:w="0" w:type="auto"/>
          <w:tblCellMar>
            <w:left w:w="144" w:type="dxa"/>
            <w:right w:w="115" w:type="dxa"/>
          </w:tblCellMar>
          <w:tblLook w:val="04A0"/>
        </w:tblPrEx>
        <w:tc>
          <w:tcPr>
            <w:tcW w:w="3120" w:type="dxa"/>
            <w:vAlign w:val="center"/>
          </w:tcPr>
          <w:p w:rsidR="002B2F98" w:rsidRPr="00B62597" w:rsidP="00AC2247">
            <w:pPr>
              <w:pStyle w:val="AttendeesList"/>
            </w:pPr>
          </w:p>
        </w:tc>
        <w:tc>
          <w:tcPr>
            <w:tcW w:w="3120" w:type="dxa"/>
            <w:vAlign w:val="center"/>
          </w:tcPr>
          <w:p w:rsidR="002B2F98" w:rsidRPr="00B62597" w:rsidP="00ED56D5">
            <w:pPr>
              <w:pStyle w:val="AttendeesList"/>
            </w:pPr>
          </w:p>
        </w:tc>
        <w:tc>
          <w:tcPr>
            <w:tcW w:w="3120" w:type="dxa"/>
            <w:vAlign w:val="center"/>
          </w:tcPr>
          <w:p w:rsidR="002B2F98" w:rsidRPr="00B62597" w:rsidP="00ED56D5">
            <w:pPr>
              <w:pStyle w:val="AttendeesList"/>
            </w:pPr>
          </w:p>
        </w:tc>
      </w:tr>
      <w:tr w:rsidTr="00F16868">
        <w:tblPrEx>
          <w:tblW w:w="0" w:type="auto"/>
          <w:tblCellMar>
            <w:left w:w="144" w:type="dxa"/>
            <w:right w:w="115" w:type="dxa"/>
          </w:tblCellMar>
          <w:tblLook w:val="04A0"/>
        </w:tblPrEx>
        <w:tc>
          <w:tcPr>
            <w:tcW w:w="3120" w:type="dxa"/>
            <w:vAlign w:val="center"/>
          </w:tcPr>
          <w:p w:rsidR="00712CAA" w:rsidRPr="00B62597" w:rsidP="00BB531B">
            <w:pPr>
              <w:pStyle w:val="AttendeesList"/>
            </w:pPr>
          </w:p>
        </w:tc>
        <w:tc>
          <w:tcPr>
            <w:tcW w:w="3120" w:type="dxa"/>
            <w:vAlign w:val="center"/>
          </w:tcPr>
          <w:p w:rsidR="00712CAA" w:rsidP="00BB531B">
            <w:pPr>
              <w:pStyle w:val="AttendeesList"/>
            </w:pPr>
          </w:p>
        </w:tc>
        <w:tc>
          <w:tcPr>
            <w:tcW w:w="3120" w:type="dxa"/>
            <w:vAlign w:val="center"/>
          </w:tcPr>
          <w:p w:rsidR="00712CAA" w:rsidP="00BB531B">
            <w:pPr>
              <w:pStyle w:val="AttendeesList"/>
            </w:pPr>
          </w:p>
        </w:tc>
      </w:tr>
    </w:tbl>
    <w:p w:rsidR="00B62597" w:rsidP="00337321">
      <w:pPr>
        <w:pStyle w:val="Author"/>
      </w:pPr>
      <w:r>
        <w:t xml:space="preserve">Author: </w:t>
      </w:r>
      <w:r w:rsidR="00F16868">
        <w:t>Janell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40938"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978"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F16868" w:rsidP="009C15C4"/>
    <w:p w:rsidR="00F16868" w:rsidP="009C15C4"/>
    <w:p w:rsidR="00F16868" w:rsidP="009C15C4"/>
    <w:p w:rsidR="00F16868" w:rsidP="009C15C4"/>
    <w:p w:rsidR="00F16868"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816D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F16868">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9472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66315">
      <w:t>February 11</w:t>
    </w:r>
    <w:r w:rsidR="00F16868">
      <w:t xml:space="preserve">, </w:t>
    </w:r>
    <w:r w:rsidR="00711249">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D390C8E"/>
    <w:multiLevelType w:val="hybridMultilevel"/>
    <w:tmpl w:val="94948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68"/>
    <w:rsid w:val="00005E93"/>
    <w:rsid w:val="00010057"/>
    <w:rsid w:val="000232DF"/>
    <w:rsid w:val="00027F49"/>
    <w:rsid w:val="000333FF"/>
    <w:rsid w:val="0006798D"/>
    <w:rsid w:val="00081F15"/>
    <w:rsid w:val="00082FAC"/>
    <w:rsid w:val="00092135"/>
    <w:rsid w:val="00117AF9"/>
    <w:rsid w:val="00121F58"/>
    <w:rsid w:val="001678E8"/>
    <w:rsid w:val="001B2242"/>
    <w:rsid w:val="001C0CC0"/>
    <w:rsid w:val="001D3B68"/>
    <w:rsid w:val="002113BD"/>
    <w:rsid w:val="00212884"/>
    <w:rsid w:val="0025139E"/>
    <w:rsid w:val="002B2F98"/>
    <w:rsid w:val="002C6057"/>
    <w:rsid w:val="00305238"/>
    <w:rsid w:val="00323175"/>
    <w:rsid w:val="003251CE"/>
    <w:rsid w:val="00337321"/>
    <w:rsid w:val="003830A5"/>
    <w:rsid w:val="00394850"/>
    <w:rsid w:val="003B55E1"/>
    <w:rsid w:val="003C17E2"/>
    <w:rsid w:val="003D7E5C"/>
    <w:rsid w:val="003E7A73"/>
    <w:rsid w:val="00437668"/>
    <w:rsid w:val="0046043F"/>
    <w:rsid w:val="00491490"/>
    <w:rsid w:val="00494494"/>
    <w:rsid w:val="004969FA"/>
    <w:rsid w:val="00527104"/>
    <w:rsid w:val="00564DEE"/>
    <w:rsid w:val="0057441E"/>
    <w:rsid w:val="005A5D0D"/>
    <w:rsid w:val="005D6D05"/>
    <w:rsid w:val="006024A0"/>
    <w:rsid w:val="00602967"/>
    <w:rsid w:val="00606F11"/>
    <w:rsid w:val="00666315"/>
    <w:rsid w:val="006F7A52"/>
    <w:rsid w:val="00711249"/>
    <w:rsid w:val="00712CAA"/>
    <w:rsid w:val="00716A8B"/>
    <w:rsid w:val="00730F76"/>
    <w:rsid w:val="00744A45"/>
    <w:rsid w:val="00754C6D"/>
    <w:rsid w:val="00755096"/>
    <w:rsid w:val="007703B4"/>
    <w:rsid w:val="00777F15"/>
    <w:rsid w:val="007A34A3"/>
    <w:rsid w:val="007B1751"/>
    <w:rsid w:val="007C2954"/>
    <w:rsid w:val="007D4F70"/>
    <w:rsid w:val="007E7CAB"/>
    <w:rsid w:val="00837B12"/>
    <w:rsid w:val="00841282"/>
    <w:rsid w:val="008552A3"/>
    <w:rsid w:val="00882652"/>
    <w:rsid w:val="00917386"/>
    <w:rsid w:val="00991528"/>
    <w:rsid w:val="009A5430"/>
    <w:rsid w:val="009C15C4"/>
    <w:rsid w:val="009C6D53"/>
    <w:rsid w:val="009F53F9"/>
    <w:rsid w:val="00A05391"/>
    <w:rsid w:val="00A317A9"/>
    <w:rsid w:val="00A41149"/>
    <w:rsid w:val="00AB7753"/>
    <w:rsid w:val="00AC2247"/>
    <w:rsid w:val="00AD0F2F"/>
    <w:rsid w:val="00B16D95"/>
    <w:rsid w:val="00B20316"/>
    <w:rsid w:val="00B34E3C"/>
    <w:rsid w:val="00B62597"/>
    <w:rsid w:val="00B816D5"/>
    <w:rsid w:val="00BA6146"/>
    <w:rsid w:val="00BB531B"/>
    <w:rsid w:val="00BC3C21"/>
    <w:rsid w:val="00BF331B"/>
    <w:rsid w:val="00C439EC"/>
    <w:rsid w:val="00C5307B"/>
    <w:rsid w:val="00C61703"/>
    <w:rsid w:val="00C72168"/>
    <w:rsid w:val="00C757F4"/>
    <w:rsid w:val="00C75A9D"/>
    <w:rsid w:val="00CA49B9"/>
    <w:rsid w:val="00CB19DE"/>
    <w:rsid w:val="00CB475B"/>
    <w:rsid w:val="00CC1B47"/>
    <w:rsid w:val="00CE1A03"/>
    <w:rsid w:val="00D06EC8"/>
    <w:rsid w:val="00D136EA"/>
    <w:rsid w:val="00D251ED"/>
    <w:rsid w:val="00D46EF2"/>
    <w:rsid w:val="00D62341"/>
    <w:rsid w:val="00D831E4"/>
    <w:rsid w:val="00D95949"/>
    <w:rsid w:val="00DB29E9"/>
    <w:rsid w:val="00DE34CF"/>
    <w:rsid w:val="00E1605D"/>
    <w:rsid w:val="00E32B6B"/>
    <w:rsid w:val="00E5387A"/>
    <w:rsid w:val="00E55E84"/>
    <w:rsid w:val="00EB68B0"/>
    <w:rsid w:val="00ED56D5"/>
    <w:rsid w:val="00F16868"/>
    <w:rsid w:val="00F4190F"/>
    <w:rsid w:val="00F5077C"/>
    <w:rsid w:val="00FC2B9A"/>
    <w:rsid w:val="00FC75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3E1DE15-BF79-4C79-80FA-D9AFB253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D46EF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7b0066BE4F-782C-485F-B233-158F2D4384BB%7d"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(11)</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2021-02-11T22:59:02Z</dcterms:created>
  <dcterms:modified xsi:type="dcterms:W3CDTF">2021-02-11T22:59:02Z</dcterms:modified>
</cp:coreProperties>
</file>