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pPr>
        <w:pStyle w:val="MeetingDetails"/>
      </w:pPr>
      <w:r>
        <w:t>Market Settlements Subcommittee</w:t>
      </w:r>
    </w:p>
    <w:p w:rsidR="00B62597" w:rsidRPr="00B62597" w:rsidP="00755096">
      <w:pPr>
        <w:pStyle w:val="MeetingDetails"/>
      </w:pPr>
      <w:r>
        <w:t>Conference Call</w:t>
      </w:r>
    </w:p>
    <w:p w:rsidR="00B62597" w:rsidRPr="00B62597" w:rsidP="00755096">
      <w:pPr>
        <w:pStyle w:val="MeetingDetails"/>
      </w:pPr>
      <w:r>
        <w:t>January</w:t>
      </w:r>
      <w:r w:rsidR="00010057">
        <w:t xml:space="preserve"> </w:t>
      </w:r>
      <w:r>
        <w:t>17</w:t>
      </w:r>
      <w:r w:rsidR="00837E78">
        <w:t>,</w:t>
      </w:r>
      <w:r w:rsidR="002B2F98">
        <w:t xml:space="preserve"> </w:t>
      </w:r>
      <w:r>
        <w:t>2023</w:t>
      </w:r>
      <w:r w:rsidR="006558DF">
        <w:t xml:space="preserve"> (canceled)</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t>Informational updates</w:t>
      </w:r>
    </w:p>
    <w:bookmarkEnd w:id="0"/>
    <w:bookmarkEnd w:id="1"/>
    <w:p w:rsidR="001D3B68" w:rsidRPr="006C5A36" w:rsidP="006558DF">
      <w:pPr>
        <w:pStyle w:val="SecondaryHeading-Numbered"/>
        <w:numPr>
          <w:ilvl w:val="0"/>
          <w:numId w:val="16"/>
        </w:numPr>
      </w:pPr>
      <w:r>
        <w:t>PJM Schedule 9-PSI Settlement Approval</w:t>
      </w:r>
    </w:p>
    <w:p w:rsidR="006558DF" w:rsidP="006558DF">
      <w:pPr>
        <w:pStyle w:val="SecondaryHeading-Numbered"/>
        <w:numPr>
          <w:ilvl w:val="0"/>
          <w:numId w:val="0"/>
        </w:numPr>
        <w:ind w:left="720"/>
        <w:rPr>
          <w:rFonts w:cs="Calibri"/>
          <w:b w:val="0"/>
        </w:rPr>
      </w:pPr>
      <w:r w:rsidRPr="00362005">
        <w:rPr>
          <w:rFonts w:cs="Calibri"/>
          <w:b w:val="0"/>
        </w:rPr>
        <w:t>Please review the impacts of FERC’s approval of ER22-26 for updates to PJM’s Schedule 9-PSI methodology.  Updated report data and billing impacts will occur with the February 2023 billing cycle based on PJM submitted compliance filing</w:t>
      </w:r>
      <w:r>
        <w:rPr>
          <w:rFonts w:cs="Calibri"/>
          <w:b w:val="0"/>
        </w:rPr>
        <w:t>.</w:t>
      </w:r>
    </w:p>
    <w:p w:rsidR="00362005" w:rsidRPr="00362005" w:rsidP="00362005">
      <w:pPr>
        <w:pStyle w:val="ListParagraph"/>
        <w:ind w:left="405" w:firstLine="315"/>
        <w:rPr>
          <w:rFonts w:ascii="Arial Narrow" w:hAnsi="Arial Narrow" w:cs="Calibri"/>
        </w:rPr>
      </w:pPr>
      <w:hyperlink r:id="rId4" w:history="1">
        <w:r w:rsidRPr="0026067C">
          <w:rPr>
            <w:rStyle w:val="Hyperlink"/>
            <w:rFonts w:ascii="Arial Narrow" w:hAnsi="Arial Narrow" w:cs="Calibri"/>
          </w:rPr>
          <w:t>Schedule 9-PSI Updates</w:t>
        </w:r>
      </w:hyperlink>
    </w:p>
    <w:p w:rsidR="006558DF" w:rsidRPr="006C5A36" w:rsidP="006558DF">
      <w:pPr>
        <w:pStyle w:val="SecondaryHeading-Numbered"/>
        <w:numPr>
          <w:ilvl w:val="0"/>
          <w:numId w:val="16"/>
        </w:numPr>
      </w:pPr>
      <w:r>
        <w:t>Settlement C Tracking</w:t>
      </w:r>
    </w:p>
    <w:p w:rsidR="006C5A36" w:rsidP="006C5A36">
      <w:pPr>
        <w:pStyle w:val="ListParagraph"/>
        <w:rPr>
          <w:rFonts w:ascii="Arial Narrow" w:hAnsi="Arial Narrow" w:cs="Calibri"/>
        </w:rPr>
      </w:pPr>
      <w:r>
        <w:rPr>
          <w:rFonts w:ascii="Arial Narrow" w:hAnsi="Arial Narrow" w:cs="Calibri"/>
        </w:rPr>
        <w:t>Five</w:t>
      </w:r>
      <w:r>
        <w:rPr>
          <w:rFonts w:ascii="Arial Narrow" w:hAnsi="Arial Narrow" w:cs="Calibri"/>
        </w:rPr>
        <w:t xml:space="preserve"> adjustments were processed in the </w:t>
      </w:r>
      <w:r w:rsidR="00A95BF8">
        <w:rPr>
          <w:rFonts w:ascii="Arial Narrow" w:hAnsi="Arial Narrow" w:cs="Calibri"/>
        </w:rPr>
        <w:t>December</w:t>
      </w:r>
      <w:r>
        <w:rPr>
          <w:rFonts w:ascii="Arial Narrow" w:hAnsi="Arial Narrow" w:cs="Calibri"/>
        </w:rPr>
        <w:t xml:space="preserve"> 2022 billing cycle</w:t>
      </w:r>
      <w:r>
        <w:rPr>
          <w:rFonts w:ascii="Arial Narrow" w:hAnsi="Arial Narrow" w:cs="Calibri"/>
        </w:rPr>
        <w:t xml:space="preserve"> impacting the DAY area</w:t>
      </w:r>
      <w:r>
        <w:rPr>
          <w:rFonts w:ascii="Arial Narrow" w:hAnsi="Arial Narrow" w:cs="Calibri"/>
        </w:rPr>
        <w:t xml:space="preserve">.  </w:t>
      </w:r>
    </w:p>
    <w:p w:rsidR="00340EE4" w:rsidRPr="006C5A36" w:rsidP="006C5A36">
      <w:pPr>
        <w:pStyle w:val="SecondaryHeading-Numbered"/>
        <w:numPr>
          <w:ilvl w:val="0"/>
          <w:numId w:val="0"/>
        </w:numPr>
        <w:ind w:left="720"/>
        <w:rPr>
          <w:b w:val="0"/>
        </w:rPr>
      </w:pPr>
      <w:hyperlink r:id="rId5" w:history="1">
        <w:r w:rsidRPr="002D7B41" w:rsidR="002D7B41">
          <w:rPr>
            <w:rStyle w:val="Hyperlink"/>
            <w:b w:val="0"/>
          </w:rPr>
          <w:t>2022 Settlement C Tracking</w:t>
        </w:r>
      </w:hyperlink>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3110"/>
        <w:gridCol w:w="3125"/>
      </w:tblGrid>
      <w:tr w:rsidTr="00296AAA">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7"/>
        </w:trPr>
        <w:tc>
          <w:tcPr>
            <w:tcW w:w="9350" w:type="dxa"/>
            <w:gridSpan w:val="3"/>
          </w:tcPr>
          <w:p w:rsidR="00BB531B" w:rsidP="00AC2247">
            <w:pPr>
              <w:pStyle w:val="PrimaryHeading"/>
              <w:ind w:left="-108"/>
            </w:pPr>
            <w:r>
              <w:t>Future Meeting Dates</w:t>
            </w:r>
          </w:p>
        </w:tc>
      </w:tr>
      <w:tr w:rsidTr="00296AAA">
        <w:tblPrEx>
          <w:tblW w:w="0" w:type="auto"/>
          <w:tblLook w:val="04A0"/>
        </w:tblPrEx>
        <w:tc>
          <w:tcPr>
            <w:tcW w:w="3115" w:type="dxa"/>
          </w:tcPr>
          <w:p w:rsidR="00296AAA" w:rsidP="00296AAA">
            <w:pPr>
              <w:pStyle w:val="NormalWeb"/>
              <w:spacing w:before="0" w:beforeAutospacing="0" w:after="0" w:afterAutospacing="0"/>
              <w:rPr>
                <w:rFonts w:ascii="Arial Narrow" w:hAnsi="Arial Narrow"/>
                <w:sz w:val="18"/>
                <w:szCs w:val="18"/>
              </w:rPr>
            </w:pPr>
            <w:r>
              <w:rPr>
                <w:rFonts w:ascii="Arial Narrow" w:hAnsi="Arial Narrow"/>
                <w:sz w:val="18"/>
                <w:szCs w:val="18"/>
              </w:rPr>
              <w:t>February 16, 2023</w:t>
            </w:r>
          </w:p>
        </w:tc>
        <w:tc>
          <w:tcPr>
            <w:tcW w:w="3110" w:type="dxa"/>
          </w:tcPr>
          <w:p w:rsidR="00296AAA" w:rsidP="00296AAA">
            <w:pPr>
              <w:pStyle w:val="NormalWeb"/>
              <w:spacing w:before="0" w:beforeAutospacing="0" w:after="0" w:afterAutospacing="0"/>
              <w:rPr>
                <w:rFonts w:ascii="Arial Narrow" w:hAnsi="Arial Narrow"/>
                <w:sz w:val="18"/>
                <w:szCs w:val="18"/>
              </w:rPr>
            </w:pPr>
            <w:r>
              <w:rPr>
                <w:rFonts w:ascii="Arial Narrow" w:hAnsi="Arial Narrow"/>
                <w:sz w:val="18"/>
                <w:szCs w:val="18"/>
              </w:rPr>
              <w:t>10:00 a.m. – 12:00 p.m.</w:t>
            </w:r>
          </w:p>
        </w:tc>
        <w:tc>
          <w:tcPr>
            <w:tcW w:w="3125" w:type="dxa"/>
          </w:tcPr>
          <w:p w:rsidR="00296AAA" w:rsidP="00296AAA">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Tr="00296AAA">
        <w:tblPrEx>
          <w:tblW w:w="0" w:type="auto"/>
          <w:tblLook w:val="04A0"/>
        </w:tblPrEx>
        <w:tc>
          <w:tcPr>
            <w:tcW w:w="3115" w:type="dxa"/>
          </w:tcPr>
          <w:p w:rsidR="00296AAA" w:rsidP="00296AAA">
            <w:pPr>
              <w:pStyle w:val="NormalWeb"/>
              <w:spacing w:before="0" w:beforeAutospacing="0" w:after="0" w:afterAutospacing="0"/>
              <w:rPr>
                <w:rFonts w:ascii="Arial Narrow" w:hAnsi="Arial Narrow"/>
                <w:sz w:val="18"/>
                <w:szCs w:val="18"/>
              </w:rPr>
            </w:pPr>
            <w:r>
              <w:rPr>
                <w:rFonts w:ascii="Arial Narrow" w:hAnsi="Arial Narrow"/>
                <w:sz w:val="18"/>
                <w:szCs w:val="18"/>
              </w:rPr>
              <w:t>March 17, 2023</w:t>
            </w:r>
          </w:p>
        </w:tc>
        <w:tc>
          <w:tcPr>
            <w:tcW w:w="3110" w:type="dxa"/>
          </w:tcPr>
          <w:p w:rsidR="00296AAA" w:rsidP="00296AAA">
            <w:pPr>
              <w:pStyle w:val="NormalWeb"/>
              <w:spacing w:before="0" w:beforeAutospacing="0" w:after="0" w:afterAutospacing="0"/>
              <w:rPr>
                <w:rFonts w:ascii="Arial Narrow" w:hAnsi="Arial Narrow"/>
                <w:sz w:val="18"/>
                <w:szCs w:val="18"/>
              </w:rPr>
            </w:pPr>
            <w:r>
              <w:rPr>
                <w:rFonts w:ascii="Arial Narrow" w:hAnsi="Arial Narrow"/>
                <w:sz w:val="18"/>
                <w:szCs w:val="18"/>
              </w:rPr>
              <w:t>1</w:t>
            </w:r>
            <w:r w:rsidR="00A95BF8">
              <w:rPr>
                <w:rFonts w:ascii="Arial Narrow" w:hAnsi="Arial Narrow"/>
                <w:sz w:val="18"/>
                <w:szCs w:val="18"/>
              </w:rPr>
              <w:t>0:00 a</w:t>
            </w:r>
            <w:r>
              <w:rPr>
                <w:rFonts w:ascii="Arial Narrow" w:hAnsi="Arial Narrow"/>
                <w:sz w:val="18"/>
                <w:szCs w:val="18"/>
              </w:rPr>
              <w:t xml:space="preserve">.m. – </w:t>
            </w:r>
            <w:r w:rsidR="00A95BF8">
              <w:rPr>
                <w:rFonts w:ascii="Arial Narrow" w:hAnsi="Arial Narrow"/>
                <w:sz w:val="18"/>
                <w:szCs w:val="18"/>
              </w:rPr>
              <w:t>12:0</w:t>
            </w:r>
            <w:r>
              <w:rPr>
                <w:rFonts w:ascii="Arial Narrow" w:hAnsi="Arial Narrow"/>
                <w:sz w:val="18"/>
                <w:szCs w:val="18"/>
              </w:rPr>
              <w:t>0 p.m.</w:t>
            </w:r>
          </w:p>
        </w:tc>
        <w:tc>
          <w:tcPr>
            <w:tcW w:w="3125" w:type="dxa"/>
          </w:tcPr>
          <w:p w:rsidR="00296AAA" w:rsidP="00296AAA">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Tr="00296AAA">
        <w:tblPrEx>
          <w:tblW w:w="0" w:type="auto"/>
          <w:tblLook w:val="04A0"/>
        </w:tblPrEx>
        <w:tc>
          <w:tcPr>
            <w:tcW w:w="3115" w:type="dxa"/>
          </w:tcPr>
          <w:p w:rsidR="00296AAA" w:rsidP="00296AAA">
            <w:pPr>
              <w:pStyle w:val="NormalWeb"/>
              <w:spacing w:before="0" w:beforeAutospacing="0" w:after="0" w:afterAutospacing="0"/>
              <w:rPr>
                <w:rFonts w:ascii="Arial Narrow" w:hAnsi="Arial Narrow"/>
                <w:sz w:val="18"/>
                <w:szCs w:val="18"/>
              </w:rPr>
            </w:pPr>
          </w:p>
        </w:tc>
        <w:tc>
          <w:tcPr>
            <w:tcW w:w="3110" w:type="dxa"/>
          </w:tcPr>
          <w:p w:rsidR="00296AAA" w:rsidP="00296AAA">
            <w:pPr>
              <w:pStyle w:val="NormalWeb"/>
              <w:spacing w:before="0" w:beforeAutospacing="0" w:after="0" w:afterAutospacing="0"/>
              <w:rPr>
                <w:rFonts w:ascii="Arial Narrow" w:hAnsi="Arial Narrow"/>
                <w:sz w:val="18"/>
                <w:szCs w:val="18"/>
              </w:rPr>
            </w:pPr>
          </w:p>
        </w:tc>
        <w:tc>
          <w:tcPr>
            <w:tcW w:w="3125" w:type="dxa"/>
          </w:tcPr>
          <w:p w:rsidR="00296AAA" w:rsidP="00296AAA">
            <w:pPr>
              <w:pStyle w:val="NormalWeb"/>
              <w:spacing w:before="0" w:beforeAutospacing="0" w:after="0" w:afterAutospacing="0"/>
              <w:rPr>
                <w:rFonts w:ascii="Arial Narrow" w:hAnsi="Arial Narrow"/>
                <w:sz w:val="18"/>
                <w:szCs w:val="18"/>
              </w:rPr>
            </w:pPr>
          </w:p>
        </w:tc>
      </w:tr>
      <w:tr w:rsidTr="00296AAA">
        <w:tblPrEx>
          <w:tblW w:w="0" w:type="auto"/>
          <w:tblLook w:val="04A0"/>
        </w:tblPrEx>
        <w:tc>
          <w:tcPr>
            <w:tcW w:w="3115" w:type="dxa"/>
          </w:tcPr>
          <w:p w:rsidR="00296AAA" w:rsidP="00296AAA">
            <w:pPr>
              <w:pStyle w:val="NormalWeb"/>
              <w:spacing w:before="0" w:beforeAutospacing="0" w:after="0" w:afterAutospacing="0"/>
              <w:rPr>
                <w:rFonts w:ascii="Arial Narrow" w:hAnsi="Arial Narrow"/>
                <w:sz w:val="18"/>
                <w:szCs w:val="18"/>
              </w:rPr>
            </w:pPr>
          </w:p>
        </w:tc>
        <w:tc>
          <w:tcPr>
            <w:tcW w:w="3110" w:type="dxa"/>
          </w:tcPr>
          <w:p w:rsidR="00296AAA" w:rsidP="00296AAA">
            <w:pPr>
              <w:pStyle w:val="NormalWeb"/>
              <w:spacing w:before="0" w:beforeAutospacing="0" w:after="0" w:afterAutospacing="0"/>
              <w:rPr>
                <w:rFonts w:ascii="Arial Narrow" w:hAnsi="Arial Narrow"/>
                <w:sz w:val="18"/>
                <w:szCs w:val="18"/>
              </w:rPr>
            </w:pPr>
          </w:p>
        </w:tc>
        <w:tc>
          <w:tcPr>
            <w:tcW w:w="3125" w:type="dxa"/>
          </w:tcPr>
          <w:p w:rsidR="00296AAA" w:rsidP="00296AAA">
            <w:pPr>
              <w:pStyle w:val="NormalWeb"/>
              <w:spacing w:before="0" w:beforeAutospacing="0" w:after="0" w:afterAutospacing="0"/>
              <w:rPr>
                <w:rFonts w:ascii="Arial Narrow" w:hAnsi="Arial Narrow"/>
                <w:sz w:val="18"/>
                <w:szCs w:val="18"/>
              </w:rPr>
            </w:pPr>
          </w:p>
        </w:tc>
      </w:tr>
      <w:tr w:rsidTr="00296AAA">
        <w:tblPrEx>
          <w:tblW w:w="0" w:type="auto"/>
          <w:tblLook w:val="04A0"/>
        </w:tblPrEx>
        <w:tc>
          <w:tcPr>
            <w:tcW w:w="3115" w:type="dxa"/>
          </w:tcPr>
          <w:p w:rsidR="00296AAA" w:rsidP="00296AAA">
            <w:pPr>
              <w:pStyle w:val="NormalWeb"/>
              <w:spacing w:before="0" w:beforeAutospacing="0" w:after="0" w:afterAutospacing="0"/>
              <w:rPr>
                <w:rFonts w:ascii="Arial Narrow" w:hAnsi="Arial Narrow"/>
                <w:sz w:val="18"/>
                <w:szCs w:val="18"/>
              </w:rPr>
            </w:pPr>
          </w:p>
        </w:tc>
        <w:tc>
          <w:tcPr>
            <w:tcW w:w="3110" w:type="dxa"/>
          </w:tcPr>
          <w:p w:rsidR="00296AAA" w:rsidP="00296AAA">
            <w:pPr>
              <w:pStyle w:val="NormalWeb"/>
              <w:spacing w:before="0" w:beforeAutospacing="0" w:after="0" w:afterAutospacing="0"/>
              <w:rPr>
                <w:rFonts w:ascii="Arial Narrow" w:hAnsi="Arial Narrow"/>
                <w:sz w:val="18"/>
                <w:szCs w:val="18"/>
              </w:rPr>
            </w:pPr>
          </w:p>
        </w:tc>
        <w:tc>
          <w:tcPr>
            <w:tcW w:w="3125" w:type="dxa"/>
          </w:tcPr>
          <w:p w:rsidR="00296AAA" w:rsidP="00296AAA">
            <w:pPr>
              <w:pStyle w:val="NormalWeb"/>
              <w:spacing w:before="0" w:beforeAutospacing="0" w:after="0" w:afterAutospacing="0"/>
              <w:rPr>
                <w:rFonts w:ascii="Arial Narrow" w:hAnsi="Arial Narrow"/>
                <w:sz w:val="18"/>
                <w:szCs w:val="18"/>
              </w:rPr>
            </w:pPr>
          </w:p>
        </w:tc>
      </w:tr>
      <w:tr w:rsidTr="00296AAA">
        <w:tblPrEx>
          <w:tblW w:w="0" w:type="auto"/>
          <w:tblLook w:val="04A0"/>
        </w:tblPrEx>
        <w:tc>
          <w:tcPr>
            <w:tcW w:w="3115" w:type="dxa"/>
          </w:tcPr>
          <w:p w:rsidR="00296AAA" w:rsidP="00296AAA">
            <w:pPr>
              <w:pStyle w:val="NormalWeb"/>
              <w:spacing w:before="0" w:beforeAutospacing="0" w:after="0" w:afterAutospacing="0"/>
              <w:rPr>
                <w:rFonts w:ascii="Arial Narrow" w:hAnsi="Arial Narrow"/>
                <w:sz w:val="18"/>
                <w:szCs w:val="18"/>
              </w:rPr>
            </w:pPr>
          </w:p>
        </w:tc>
        <w:tc>
          <w:tcPr>
            <w:tcW w:w="3110" w:type="dxa"/>
          </w:tcPr>
          <w:p w:rsidR="00296AAA" w:rsidP="00296AAA">
            <w:pPr>
              <w:pStyle w:val="NormalWeb"/>
              <w:spacing w:before="0" w:beforeAutospacing="0" w:after="0" w:afterAutospacing="0"/>
              <w:rPr>
                <w:rFonts w:ascii="Arial Narrow" w:hAnsi="Arial Narrow"/>
                <w:sz w:val="18"/>
                <w:szCs w:val="18"/>
              </w:rPr>
            </w:pPr>
          </w:p>
        </w:tc>
        <w:tc>
          <w:tcPr>
            <w:tcW w:w="3125" w:type="dxa"/>
          </w:tcPr>
          <w:p w:rsidR="00296AAA" w:rsidP="00296AAA">
            <w:pPr>
              <w:pStyle w:val="NormalWeb"/>
              <w:spacing w:before="0" w:beforeAutospacing="0" w:after="0" w:afterAutospacing="0"/>
              <w:rPr>
                <w:rFonts w:ascii="Arial Narrow" w:hAnsi="Arial Narrow"/>
                <w:sz w:val="18"/>
                <w:szCs w:val="18"/>
              </w:rPr>
            </w:pPr>
          </w:p>
        </w:tc>
      </w:tr>
      <w:tr w:rsidTr="00296AAA">
        <w:tblPrEx>
          <w:tblW w:w="0" w:type="auto"/>
          <w:tblLook w:val="04A0"/>
        </w:tblPrEx>
        <w:tc>
          <w:tcPr>
            <w:tcW w:w="3115" w:type="dxa"/>
          </w:tcPr>
          <w:p w:rsidR="00296AAA" w:rsidP="00296AAA">
            <w:pPr>
              <w:pStyle w:val="NormalWeb"/>
              <w:spacing w:before="0" w:beforeAutospacing="0" w:after="0" w:afterAutospacing="0"/>
              <w:rPr>
                <w:rFonts w:ascii="Arial Narrow" w:hAnsi="Arial Narrow"/>
                <w:sz w:val="18"/>
                <w:szCs w:val="18"/>
              </w:rPr>
            </w:pPr>
          </w:p>
        </w:tc>
        <w:tc>
          <w:tcPr>
            <w:tcW w:w="3110" w:type="dxa"/>
          </w:tcPr>
          <w:p w:rsidR="00296AAA" w:rsidP="00296AAA">
            <w:pPr>
              <w:pStyle w:val="NormalWeb"/>
              <w:spacing w:before="0" w:beforeAutospacing="0" w:after="0" w:afterAutospacing="0"/>
              <w:rPr>
                <w:rFonts w:ascii="Arial Narrow" w:hAnsi="Arial Narrow"/>
                <w:sz w:val="18"/>
                <w:szCs w:val="18"/>
              </w:rPr>
            </w:pPr>
          </w:p>
        </w:tc>
        <w:tc>
          <w:tcPr>
            <w:tcW w:w="3125" w:type="dxa"/>
          </w:tcPr>
          <w:p w:rsidR="00296AAA" w:rsidP="00296AAA">
            <w:pPr>
              <w:pStyle w:val="NormalWeb"/>
              <w:spacing w:before="0" w:beforeAutospacing="0" w:after="0" w:afterAutospacing="0"/>
              <w:rPr>
                <w:rFonts w:ascii="Arial Narrow" w:hAnsi="Arial Narrow"/>
                <w:sz w:val="18"/>
                <w:szCs w:val="18"/>
              </w:rPr>
            </w:pPr>
          </w:p>
        </w:tc>
      </w:tr>
      <w:tr w:rsidTr="00296AAA">
        <w:tblPrEx>
          <w:tblW w:w="0" w:type="auto"/>
          <w:tblLook w:val="04A0"/>
        </w:tblPrEx>
        <w:tc>
          <w:tcPr>
            <w:tcW w:w="3115" w:type="dxa"/>
          </w:tcPr>
          <w:p w:rsidR="00296AAA" w:rsidP="00296AAA">
            <w:pPr>
              <w:pStyle w:val="NormalWeb"/>
              <w:spacing w:before="0" w:beforeAutospacing="0" w:after="0" w:afterAutospacing="0"/>
              <w:rPr>
                <w:rFonts w:ascii="Arial Narrow" w:hAnsi="Arial Narrow"/>
                <w:sz w:val="18"/>
                <w:szCs w:val="18"/>
              </w:rPr>
            </w:pPr>
          </w:p>
        </w:tc>
        <w:tc>
          <w:tcPr>
            <w:tcW w:w="3110" w:type="dxa"/>
          </w:tcPr>
          <w:p w:rsidR="00296AAA" w:rsidP="00296AAA">
            <w:pPr>
              <w:pStyle w:val="NormalWeb"/>
              <w:spacing w:before="0" w:beforeAutospacing="0" w:after="0" w:afterAutospacing="0"/>
              <w:rPr>
                <w:rFonts w:ascii="Arial Narrow" w:hAnsi="Arial Narrow"/>
                <w:sz w:val="18"/>
                <w:szCs w:val="18"/>
              </w:rPr>
            </w:pPr>
          </w:p>
        </w:tc>
        <w:tc>
          <w:tcPr>
            <w:tcW w:w="3125" w:type="dxa"/>
          </w:tcPr>
          <w:p w:rsidR="00296AAA" w:rsidP="00296AAA">
            <w:pPr>
              <w:pStyle w:val="NormalWeb"/>
              <w:spacing w:before="0" w:beforeAutospacing="0" w:after="0" w:afterAutospacing="0"/>
              <w:rPr>
                <w:rFonts w:ascii="Arial Narrow" w:hAnsi="Arial Narrow"/>
                <w:sz w:val="18"/>
                <w:szCs w:val="18"/>
              </w:rPr>
            </w:pPr>
          </w:p>
        </w:tc>
      </w:tr>
      <w:tr w:rsidTr="00296AAA">
        <w:tblPrEx>
          <w:tblW w:w="0" w:type="auto"/>
          <w:tblLook w:val="04A0"/>
        </w:tblPrEx>
        <w:tc>
          <w:tcPr>
            <w:tcW w:w="3115" w:type="dxa"/>
          </w:tcPr>
          <w:p w:rsidR="00296AAA" w:rsidP="00296AAA">
            <w:pPr>
              <w:pStyle w:val="NormalWeb"/>
              <w:spacing w:before="0" w:beforeAutospacing="0" w:after="0" w:afterAutospacing="0"/>
              <w:rPr>
                <w:rFonts w:ascii="Arial Narrow" w:hAnsi="Arial Narrow"/>
                <w:sz w:val="18"/>
                <w:szCs w:val="18"/>
              </w:rPr>
            </w:pPr>
          </w:p>
        </w:tc>
        <w:tc>
          <w:tcPr>
            <w:tcW w:w="3110" w:type="dxa"/>
          </w:tcPr>
          <w:p w:rsidR="00296AAA" w:rsidP="00296AAA">
            <w:pPr>
              <w:pStyle w:val="NormalWeb"/>
              <w:spacing w:before="0" w:beforeAutospacing="0" w:after="0" w:afterAutospacing="0"/>
              <w:rPr>
                <w:rFonts w:ascii="Arial Narrow" w:hAnsi="Arial Narrow"/>
                <w:sz w:val="18"/>
                <w:szCs w:val="18"/>
              </w:rPr>
            </w:pPr>
          </w:p>
        </w:tc>
        <w:tc>
          <w:tcPr>
            <w:tcW w:w="3125" w:type="dxa"/>
          </w:tcPr>
          <w:p w:rsidR="00296AAA" w:rsidP="00296AAA">
            <w:pPr>
              <w:pStyle w:val="NormalWeb"/>
              <w:spacing w:before="0" w:beforeAutospacing="0" w:after="0" w:afterAutospacing="0"/>
              <w:rPr>
                <w:rFonts w:ascii="Arial Narrow" w:hAnsi="Arial Narrow"/>
                <w:sz w:val="18"/>
                <w:szCs w:val="18"/>
              </w:rPr>
            </w:pPr>
          </w:p>
        </w:tc>
      </w:tr>
    </w:tbl>
    <w:p w:rsidR="00726147" w:rsidP="00337321">
      <w:pPr>
        <w:pStyle w:val="Author"/>
      </w:pPr>
    </w:p>
    <w:p w:rsidR="00726147" w:rsidP="00FC4406">
      <w:pPr>
        <w:pStyle w:val="Author"/>
      </w:pPr>
      <w:r>
        <w:t xml:space="preserve">Author: </w:t>
      </w:r>
      <w:r w:rsidR="006E4ECD">
        <w:t>Sean Flamm</w:t>
      </w:r>
    </w:p>
    <w:p w:rsidR="003C12B2" w:rsidP="00DB29E9">
      <w:pPr>
        <w:pStyle w:val="DisclaimerHeading"/>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 xml:space="preserve">Unless otherwise </w:t>
      </w:r>
      <w:bookmarkStart w:id="2" w:name="_GoBack"/>
      <w:bookmarkEnd w:id="2"/>
      <w:r w:rsidRPr="00B62597">
        <w:t>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Participant Identification in WebEx:</w:t>
      </w:r>
    </w:p>
    <w:p w:rsidR="00027F49" w:rsidP="00027F49">
      <w:pPr>
        <w:pStyle w:val="DisclaimerBodyCopy"/>
      </w:pPr>
      <w:r>
        <w:t>When logging into the WebEx desktop client, please enter your real first and last name as well as a valid email address. Be sure to select the “call me” option.</w:t>
      </w:r>
    </w:p>
    <w:p w:rsidR="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6"/>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7"/>
                    <a:stretch>
                      <a:fillRect/>
                    </a:stretch>
                  </pic:blipFill>
                  <pic:spPr>
                    <a:xfrm>
                      <a:off x="0" y="0"/>
                      <a:ext cx="5943600" cy="1217930"/>
                    </a:xfrm>
                    <a:prstGeom prst="rect">
                      <a:avLst/>
                    </a:prstGeom>
                  </pic:spPr>
                </pic:pic>
              </a:graphicData>
            </a:graphic>
          </wp:inline>
        </w:drawing>
      </w:r>
    </w:p>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0"/>
      <w:footerReference w:type="even" r:id="rId11"/>
      <w:footerReference w:type="default" r:id="rId12"/>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01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FD01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012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FB6239">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1"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FB6239">
      <w:rPr>
        <w:rFonts w:ascii="Arial Narrow" w:hAnsi="Arial Narrow"/>
        <w:sz w:val="20"/>
      </w:rPr>
      <w:t>23</w:t>
    </w:r>
    <w:r w:rsidR="00991528">
      <w:rPr>
        <w:rFonts w:ascii="Arial Narrow" w:hAnsi="Arial Narrow"/>
        <w:sz w:val="20"/>
      </w:rPr>
      <w:tab/>
    </w:r>
    <w:r w:rsidR="00BA7ADD">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0122" w:rsidP="00B66E13">
    <w:pPr>
      <w:pStyle w:val="PostingDate"/>
      <w:rPr>
        <w:sz w:val="16"/>
      </w:rPr>
    </w:pPr>
    <w:r w:rsidRPr="00F4190F">
      <w:rPr>
        <w:sz w:val="24"/>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sz w:val="16"/>
      </w:rPr>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11249" w:rsidR="00B66E13">
      <mc:AlternateContent>
        <mc:Choice Requires="wps">
          <w:drawing>
            <wp:anchor distT="0" distB="0" distL="114300" distR="114300" simplePos="0" relativeHeight="251662336"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B66E13" w:rsidRPr="001D3B68" w:rsidP="00B66E13">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2050"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3360" filled="f" stroked="f">
              <v:textbox style="mso-fit-shape-to-text:t">
                <w:txbxContent>
                  <w:p w:rsidR="00B66E13" w:rsidRPr="001D3B68" w:rsidP="00B66E13">
                    <w:pPr>
                      <w:pStyle w:val="HeaderTitle"/>
                      <w:jc w:val="center"/>
                      <w:rPr>
                        <w:rFonts w:ascii="Arial Narrow" w:hAnsi="Arial Narrow"/>
                        <w:b/>
                      </w:rPr>
                    </w:pPr>
                    <w:r>
                      <w:rPr>
                        <w:rFonts w:ascii="Arial Narrow" w:hAnsi="Arial Narrow"/>
                        <w:b/>
                      </w:rPr>
                      <w:t>Agenda</w:t>
                    </w:r>
                  </w:p>
                </w:txbxContent>
              </v:textbox>
            </v:shape>
          </w:pict>
        </mc:Fallback>
      </mc:AlternateContent>
    </w:r>
    <w:r w:rsidRPr="00711249">
      <w:drawing>
        <wp:anchor distT="0" distB="0" distL="114300" distR="114300" simplePos="0" relativeHeight="251661312"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F6EDB">
      <w:t xml:space="preserve">As of </w:t>
    </w:r>
    <w:r w:rsidR="00EB12FF">
      <w:t>January 17,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4337DD4"/>
    <w:multiLevelType w:val="hybridMultilevel"/>
    <w:tmpl w:val="FD8A468A"/>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594212F5"/>
    <w:multiLevelType w:val="hybridMultilevel"/>
    <w:tmpl w:val="A06E44E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5C200CB0"/>
    <w:multiLevelType w:val="hybridMultilevel"/>
    <w:tmpl w:val="A06E44E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9">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6B045875"/>
    <w:multiLevelType w:val="hybridMultilevel"/>
    <w:tmpl w:val="7FAEB48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8"/>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9"/>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1"/>
  </w:num>
  <w:num w:numId="9">
    <w:abstractNumId w:val="3"/>
  </w:num>
  <w:num w:numId="10">
    <w:abstractNumId w:val="0"/>
  </w:num>
  <w:num w:numId="11">
    <w:abstractNumId w:val="4"/>
  </w:num>
  <w:num w:numId="12">
    <w:abstractNumId w:val="1"/>
  </w:num>
  <w:num w:numId="13">
    <w:abstractNumId w:val="6"/>
  </w:num>
  <w:num w:numId="14">
    <w:abstractNumId w:val="7"/>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7AE"/>
    <w:rsid w:val="00010057"/>
    <w:rsid w:val="0001779D"/>
    <w:rsid w:val="000232DF"/>
    <w:rsid w:val="00027F49"/>
    <w:rsid w:val="000333FF"/>
    <w:rsid w:val="00054111"/>
    <w:rsid w:val="0007764F"/>
    <w:rsid w:val="00092135"/>
    <w:rsid w:val="000D4565"/>
    <w:rsid w:val="000E14E6"/>
    <w:rsid w:val="00115C4E"/>
    <w:rsid w:val="0016375F"/>
    <w:rsid w:val="001678E8"/>
    <w:rsid w:val="00172D97"/>
    <w:rsid w:val="00187507"/>
    <w:rsid w:val="001A0199"/>
    <w:rsid w:val="001B2242"/>
    <w:rsid w:val="001C0CC0"/>
    <w:rsid w:val="001D3B68"/>
    <w:rsid w:val="002113BD"/>
    <w:rsid w:val="00223858"/>
    <w:rsid w:val="00240490"/>
    <w:rsid w:val="0025139E"/>
    <w:rsid w:val="00254D56"/>
    <w:rsid w:val="0026067C"/>
    <w:rsid w:val="00286838"/>
    <w:rsid w:val="00296AAA"/>
    <w:rsid w:val="002B2F98"/>
    <w:rsid w:val="002C6057"/>
    <w:rsid w:val="002D7B41"/>
    <w:rsid w:val="002F695E"/>
    <w:rsid w:val="00305238"/>
    <w:rsid w:val="00316B2B"/>
    <w:rsid w:val="003251CE"/>
    <w:rsid w:val="00327D85"/>
    <w:rsid w:val="00337321"/>
    <w:rsid w:val="00340D83"/>
    <w:rsid w:val="00340EE4"/>
    <w:rsid w:val="003442E8"/>
    <w:rsid w:val="00345732"/>
    <w:rsid w:val="00351032"/>
    <w:rsid w:val="0035641C"/>
    <w:rsid w:val="00362005"/>
    <w:rsid w:val="00380E7A"/>
    <w:rsid w:val="003914CC"/>
    <w:rsid w:val="003A764F"/>
    <w:rsid w:val="003B2EBC"/>
    <w:rsid w:val="003B55E1"/>
    <w:rsid w:val="003C12B2"/>
    <w:rsid w:val="003D7E5C"/>
    <w:rsid w:val="003E7A73"/>
    <w:rsid w:val="00454B11"/>
    <w:rsid w:val="0046043F"/>
    <w:rsid w:val="00477113"/>
    <w:rsid w:val="00484349"/>
    <w:rsid w:val="00491490"/>
    <w:rsid w:val="00494494"/>
    <w:rsid w:val="004969FA"/>
    <w:rsid w:val="004E4EC5"/>
    <w:rsid w:val="005109FF"/>
    <w:rsid w:val="00527104"/>
    <w:rsid w:val="00564DEE"/>
    <w:rsid w:val="0057441E"/>
    <w:rsid w:val="005A5D0D"/>
    <w:rsid w:val="005D6D05"/>
    <w:rsid w:val="006024A0"/>
    <w:rsid w:val="00602967"/>
    <w:rsid w:val="00606F11"/>
    <w:rsid w:val="006558DF"/>
    <w:rsid w:val="0066581F"/>
    <w:rsid w:val="006B7030"/>
    <w:rsid w:val="006C5A36"/>
    <w:rsid w:val="006C7DFB"/>
    <w:rsid w:val="006E4ECD"/>
    <w:rsid w:val="006F7A52"/>
    <w:rsid w:val="00712CAA"/>
    <w:rsid w:val="00716A8B"/>
    <w:rsid w:val="00726147"/>
    <w:rsid w:val="00744A45"/>
    <w:rsid w:val="00754C6D"/>
    <w:rsid w:val="00755096"/>
    <w:rsid w:val="007703B4"/>
    <w:rsid w:val="00790F25"/>
    <w:rsid w:val="007A34A3"/>
    <w:rsid w:val="007A4F0F"/>
    <w:rsid w:val="007C2047"/>
    <w:rsid w:val="007C2954"/>
    <w:rsid w:val="007D4F70"/>
    <w:rsid w:val="007E20E5"/>
    <w:rsid w:val="007E7CAB"/>
    <w:rsid w:val="00837B12"/>
    <w:rsid w:val="00837E78"/>
    <w:rsid w:val="00841282"/>
    <w:rsid w:val="008552A3"/>
    <w:rsid w:val="008573F7"/>
    <w:rsid w:val="00862377"/>
    <w:rsid w:val="00882652"/>
    <w:rsid w:val="00890B49"/>
    <w:rsid w:val="008D65A9"/>
    <w:rsid w:val="008F6EDB"/>
    <w:rsid w:val="00917386"/>
    <w:rsid w:val="009855E4"/>
    <w:rsid w:val="00991528"/>
    <w:rsid w:val="009A2D5A"/>
    <w:rsid w:val="009A5430"/>
    <w:rsid w:val="009C15C4"/>
    <w:rsid w:val="009D51B1"/>
    <w:rsid w:val="009F53F9"/>
    <w:rsid w:val="009F5566"/>
    <w:rsid w:val="00A00FAC"/>
    <w:rsid w:val="00A05391"/>
    <w:rsid w:val="00A30464"/>
    <w:rsid w:val="00A317A9"/>
    <w:rsid w:val="00A41149"/>
    <w:rsid w:val="00A73B41"/>
    <w:rsid w:val="00A95BF8"/>
    <w:rsid w:val="00AC2247"/>
    <w:rsid w:val="00AE4870"/>
    <w:rsid w:val="00B16D95"/>
    <w:rsid w:val="00B20316"/>
    <w:rsid w:val="00B34E3C"/>
    <w:rsid w:val="00B42AF4"/>
    <w:rsid w:val="00B62597"/>
    <w:rsid w:val="00B62E32"/>
    <w:rsid w:val="00B66E13"/>
    <w:rsid w:val="00B94DFA"/>
    <w:rsid w:val="00BA6146"/>
    <w:rsid w:val="00BA7ADD"/>
    <w:rsid w:val="00BB531B"/>
    <w:rsid w:val="00BB638E"/>
    <w:rsid w:val="00BF331B"/>
    <w:rsid w:val="00C439EC"/>
    <w:rsid w:val="00C5307B"/>
    <w:rsid w:val="00C72168"/>
    <w:rsid w:val="00C757F4"/>
    <w:rsid w:val="00C75A9D"/>
    <w:rsid w:val="00C767C6"/>
    <w:rsid w:val="00CA49B9"/>
    <w:rsid w:val="00CB19DE"/>
    <w:rsid w:val="00CB475B"/>
    <w:rsid w:val="00CC1B47"/>
    <w:rsid w:val="00CD5C03"/>
    <w:rsid w:val="00CD7DD4"/>
    <w:rsid w:val="00CE7070"/>
    <w:rsid w:val="00CF5308"/>
    <w:rsid w:val="00D06EC8"/>
    <w:rsid w:val="00D07424"/>
    <w:rsid w:val="00D136EA"/>
    <w:rsid w:val="00D251ED"/>
    <w:rsid w:val="00D42220"/>
    <w:rsid w:val="00D43DBA"/>
    <w:rsid w:val="00D66879"/>
    <w:rsid w:val="00D831E4"/>
    <w:rsid w:val="00D83905"/>
    <w:rsid w:val="00D95949"/>
    <w:rsid w:val="00DB29E9"/>
    <w:rsid w:val="00DD2CF3"/>
    <w:rsid w:val="00DE34CF"/>
    <w:rsid w:val="00DF0B3F"/>
    <w:rsid w:val="00DF1431"/>
    <w:rsid w:val="00E1605D"/>
    <w:rsid w:val="00E24B76"/>
    <w:rsid w:val="00E32B6B"/>
    <w:rsid w:val="00E507AE"/>
    <w:rsid w:val="00E5387A"/>
    <w:rsid w:val="00E55E84"/>
    <w:rsid w:val="00E82F42"/>
    <w:rsid w:val="00E87348"/>
    <w:rsid w:val="00E91714"/>
    <w:rsid w:val="00EA0484"/>
    <w:rsid w:val="00EA66F6"/>
    <w:rsid w:val="00EB12FF"/>
    <w:rsid w:val="00EB68B0"/>
    <w:rsid w:val="00EF7070"/>
    <w:rsid w:val="00F4190F"/>
    <w:rsid w:val="00F44396"/>
    <w:rsid w:val="00F63584"/>
    <w:rsid w:val="00F7443D"/>
    <w:rsid w:val="00F77266"/>
    <w:rsid w:val="00F91D9D"/>
    <w:rsid w:val="00FB6239"/>
    <w:rsid w:val="00FC2B9A"/>
    <w:rsid w:val="00FC4406"/>
    <w:rsid w:val="00FD0122"/>
    <w:rsid w:val="00FD14A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AA2BFF9"/>
  <w15:docId w15:val="{A6344317-C050-45B2-BD04-63CEA02D0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NormalWeb">
    <w:name w:val="Normal (Web)"/>
    <w:basedOn w:val="Normal"/>
    <w:uiPriority w:val="99"/>
    <w:unhideWhenUsed/>
    <w:rsid w:val="00F744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ingDate">
    <w:name w:val="Posting Date"/>
    <w:basedOn w:val="Normal"/>
    <w:link w:val="PostingDateChar"/>
    <w:qFormat/>
    <w:rsid w:val="00B66E13"/>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B66E13"/>
    <w:rPr>
      <w:rFonts w:ascii="Arial Narrow" w:eastAsia="Times New Roman" w:hAnsi="Arial Narrow" w:cs="Times New Roman"/>
      <w:i/>
      <w:noProof/>
      <w:color w:val="013366" w:themeColor="accent1"/>
      <w:sz w:val="17"/>
      <w:szCs w:val="24"/>
    </w:rPr>
  </w:style>
  <w:style w:type="paragraph" w:styleId="ListParagraph">
    <w:name w:val="List Paragraph"/>
    <w:basedOn w:val="Normal"/>
    <w:uiPriority w:val="34"/>
    <w:qFormat/>
    <w:rsid w:val="006C5A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pjm.com/-/media/committees-groups/subcommittees/mss/2022/20221213/schedule-9-psi-updates.ashx" TargetMode="External" /><Relationship Id="rId5" Type="http://schemas.openxmlformats.org/officeDocument/2006/relationships/hyperlink" Target="https://www.pjm.com/-/media/committees-groups/subcommittees/mss/2023/20230117/2022-settlement-c-tracking.ashx" TargetMode="External" /><Relationship Id="rId6" Type="http://schemas.openxmlformats.org/officeDocument/2006/relationships/image" Target="media/image1.png" /><Relationship Id="rId7" Type="http://schemas.openxmlformats.org/officeDocument/2006/relationships/image" Target="media/image2.png" /><Relationship Id="rId8" Type="http://schemas.openxmlformats.org/officeDocument/2006/relationships/hyperlink" Target="https://www.pjm.com/committees-and-groups/committees/form-facilitator-feedback.aspx" TargetMode="External" /><Relationship Id="rId9" Type="http://schemas.openxmlformats.org/officeDocument/2006/relationships/hyperlink" Target="https://learn.pjm.com/"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discin\AppData\Local\Microsoft\Windows\INetCache\IE\ZKD5B7BK\Agenda%20(Non%20Operator%20Assisted%20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