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bookmarkStart w:id="0" w:name="_GoBack"/>
      <w:bookmarkEnd w:id="0"/>
      <w:proofErr w:type="gramStart"/>
      <w:r>
        <w:rPr>
          <w:rFonts w:ascii="Consolas" w:hAnsi="Consolas" w:cs="Consolas"/>
          <w:color w:val="0000FF"/>
          <w:sz w:val="19"/>
          <w:szCs w:val="19"/>
        </w:rPr>
        <w:t>&lt;?</w:t>
      </w:r>
      <w:r>
        <w:rPr>
          <w:rFonts w:ascii="Consolas" w:hAnsi="Consolas" w:cs="Consolas"/>
          <w:color w:val="A31515"/>
          <w:sz w:val="19"/>
          <w:szCs w:val="19"/>
        </w:rPr>
        <w:t>xml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version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1.0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encoding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ISO-8859-1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?&gt;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&lt;!--</w:t>
      </w:r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WSDL for the PJM Energy Market Participant Web Services Interface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Copyright 2003 ALSTOM Corporation.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Purpose:  This WSDL defines the web services interface to the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   PJM market server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Author:   Whitney D. Hunter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Revision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History:  [August 20, 2003] Original.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   [September 10, 2003] Changed XML Schema import to conform to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WS-I Basic Profile 1.0.</w:t>
      </w:r>
      <w:proofErr w:type="gramEnd"/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   [September 17, 2003] WSDL was not really valid. Found a validator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tool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and corrected problems.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definitions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MarketService</w:t>
      </w:r>
      <w:proofErr w:type="spellEnd"/>
      <w:r>
        <w:rPr>
          <w:rFonts w:ascii="Consolas" w:hAnsi="Consolas" w:cs="Consolas"/>
          <w:sz w:val="19"/>
          <w:szCs w:val="19"/>
        </w:rPr>
        <w:t>"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targetNamespace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emkt.pjm.com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/xml/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wsdl</w:t>
      </w:r>
      <w:proofErr w:type="spellEnd"/>
      <w:r>
        <w:rPr>
          <w:rFonts w:ascii="Consolas" w:hAnsi="Consolas" w:cs="Consolas"/>
          <w:sz w:val="19"/>
          <w:szCs w:val="19"/>
        </w:rPr>
        <w:t>"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xmlns:tns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emkt.pjm.com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/xml/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wsdl</w:t>
      </w:r>
      <w:proofErr w:type="spellEnd"/>
      <w:r>
        <w:rPr>
          <w:rFonts w:ascii="Consolas" w:hAnsi="Consolas" w:cs="Consolas"/>
          <w:sz w:val="19"/>
          <w:szCs w:val="19"/>
        </w:rPr>
        <w:t>"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xmlns:mkt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emkt.pjm.com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/xml</w:t>
      </w:r>
      <w:r>
        <w:rPr>
          <w:rFonts w:ascii="Consolas" w:hAnsi="Consolas" w:cs="Consolas"/>
          <w:sz w:val="19"/>
          <w:szCs w:val="19"/>
        </w:rPr>
        <w:t>"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xmlns:soap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schemas.xmlsoap.org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wsdl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/soap/</w:t>
      </w:r>
      <w:r>
        <w:rPr>
          <w:rFonts w:ascii="Consolas" w:hAnsi="Consolas" w:cs="Consolas"/>
          <w:sz w:val="19"/>
          <w:szCs w:val="19"/>
        </w:rPr>
        <w:t>"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xmlns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schemas.xmlsoap.org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wsdl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types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ab/>
        <w:t>&lt;</w:t>
      </w:r>
      <w:r>
        <w:rPr>
          <w:rFonts w:ascii="Consolas" w:hAnsi="Consolas" w:cs="Consolas"/>
          <w:color w:val="A31515"/>
          <w:sz w:val="19"/>
          <w:szCs w:val="19"/>
        </w:rPr>
        <w:t>schema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xmlns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www.w3.org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/2001/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XMLSchema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import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namespace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emkt.pjm.com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/xml</w:t>
      </w:r>
      <w:r>
        <w:rPr>
          <w:rFonts w:ascii="Consolas" w:hAnsi="Consolas" w:cs="Consolas"/>
          <w:sz w:val="19"/>
          <w:szCs w:val="19"/>
        </w:rPr>
        <w:t>"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    </w:t>
      </w:r>
      <w:proofErr w:type="spellStart"/>
      <w:proofErr w:type="gramStart"/>
      <w:r>
        <w:rPr>
          <w:rFonts w:ascii="Consolas" w:hAnsi="Consolas" w:cs="Consolas"/>
          <w:color w:val="FF0000"/>
          <w:sz w:val="19"/>
          <w:szCs w:val="19"/>
        </w:rPr>
        <w:t>schemaLocation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pjm-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emkt.xsd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/&gt;                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ab/>
        <w:t>&lt;/</w:t>
      </w:r>
      <w:r>
        <w:rPr>
          <w:rFonts w:ascii="Consolas" w:hAnsi="Consolas" w:cs="Consolas"/>
          <w:color w:val="A31515"/>
          <w:sz w:val="19"/>
          <w:szCs w:val="19"/>
        </w:rPr>
        <w:t>schema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types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&lt;!--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Define message formats to be used in the web services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interface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QueryRequest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part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body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element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mkt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:QueryRequest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QueryResponse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part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body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element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mkt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:QueryResponse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SubmitRequest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part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body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element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mkt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:SubmitRequest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SubmitResponse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part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body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element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mkt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:SubmitResponse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&lt;!--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Define port types for the web service.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portType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MarketSubmitPortType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submit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input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:SubmitRequest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output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:SubmitResponse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portType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portType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MarketQueryPortType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query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input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:QueryRequest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output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message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:QueryResponse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portType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&gt;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&lt;!--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Define soap bindings for the web service.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MarketSubmitSoapBinding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type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:MarketSubmitPortType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:binding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style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document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transport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schemas.xmlsoap.org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/soap/http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submit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:operation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soapAction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submit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input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:body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use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literal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&lt;/</w:t>
      </w:r>
      <w:r>
        <w:rPr>
          <w:rFonts w:ascii="Consolas" w:hAnsi="Consolas" w:cs="Consolas"/>
          <w:color w:val="A31515"/>
          <w:sz w:val="19"/>
          <w:szCs w:val="19"/>
        </w:rPr>
        <w:t>input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output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:body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use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literal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&lt;/</w:t>
      </w:r>
      <w:r>
        <w:rPr>
          <w:rFonts w:ascii="Consolas" w:hAnsi="Consolas" w:cs="Consolas"/>
          <w:color w:val="A31515"/>
          <w:sz w:val="19"/>
          <w:szCs w:val="19"/>
        </w:rPr>
        <w:t>output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 xml:space="preserve">&gt; 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MarketQuerySoapBinding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type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:MarketQueryPortType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:binding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style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document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transport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schemas.xmlsoap.org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/soap/http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query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:operation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soapAction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query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input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:body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use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literal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&lt;/</w:t>
      </w:r>
      <w:r>
        <w:rPr>
          <w:rFonts w:ascii="Consolas" w:hAnsi="Consolas" w:cs="Consolas"/>
          <w:color w:val="A31515"/>
          <w:sz w:val="19"/>
          <w:szCs w:val="19"/>
        </w:rPr>
        <w:t>input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output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    &lt;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soap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:body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use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literal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&lt;/</w:t>
      </w:r>
      <w:r>
        <w:rPr>
          <w:rFonts w:ascii="Consolas" w:hAnsi="Consolas" w:cs="Consolas"/>
          <w:color w:val="A31515"/>
          <w:sz w:val="19"/>
          <w:szCs w:val="19"/>
        </w:rPr>
        <w:t>output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operation</w:t>
      </w:r>
      <w:r>
        <w:rPr>
          <w:rFonts w:ascii="Consolas" w:hAnsi="Consolas" w:cs="Consolas"/>
          <w:color w:val="0000FF"/>
          <w:sz w:val="19"/>
          <w:szCs w:val="19"/>
        </w:rPr>
        <w:t xml:space="preserve">&gt;    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 xml:space="preserve">&gt;    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&lt;!--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    Define service for the web service using the soap binding.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--&gt;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service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MarketSubmitService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port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:MarketSubmitSoapBinding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MarketSubmitService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soap: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address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location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https://marketsgateway.pjm.com/marketsgateway/xml/submit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port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service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service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MarketQueryService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port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binding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tns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:MarketQuerySoapBinding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MarketQueryService</w:t>
      </w:r>
      <w:proofErr w:type="spellEnd"/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</w:rPr>
        <w:t>soap: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address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location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https://marketsgateway.pjm.com/marketsgateway/xml/query</w:t>
      </w:r>
      <w:r>
        <w:rPr>
          <w:rFonts w:ascii="Consolas" w:hAnsi="Consolas" w:cs="Consolas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/&gt;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port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service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E3953" w:rsidRDefault="000E3953" w:rsidP="000E39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definitions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C25898" w:rsidRDefault="00EC7F04"/>
    <w:sectPr w:rsidR="00C25898" w:rsidSect="000E3953">
      <w:pgSz w:w="12240" w:h="15840"/>
      <w:pgMar w:top="1440" w:right="720" w:bottom="144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53"/>
    <w:rsid w:val="00006DA9"/>
    <w:rsid w:val="000B206D"/>
    <w:rsid w:val="000D4E96"/>
    <w:rsid w:val="000E3953"/>
    <w:rsid w:val="000F3FFD"/>
    <w:rsid w:val="001317DB"/>
    <w:rsid w:val="00235E0D"/>
    <w:rsid w:val="002B281D"/>
    <w:rsid w:val="002F0C97"/>
    <w:rsid w:val="003705CF"/>
    <w:rsid w:val="003B0F03"/>
    <w:rsid w:val="005C4B45"/>
    <w:rsid w:val="005E0434"/>
    <w:rsid w:val="006B7E1A"/>
    <w:rsid w:val="006E225D"/>
    <w:rsid w:val="00713B53"/>
    <w:rsid w:val="00756A8F"/>
    <w:rsid w:val="00813B49"/>
    <w:rsid w:val="008A6CA6"/>
    <w:rsid w:val="008C7BEE"/>
    <w:rsid w:val="00BF2DE6"/>
    <w:rsid w:val="00C02076"/>
    <w:rsid w:val="00C41F90"/>
    <w:rsid w:val="00CA6792"/>
    <w:rsid w:val="00D028A7"/>
    <w:rsid w:val="00EC7F04"/>
    <w:rsid w:val="00F50316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Pennell, Matthew P.</dc:creator>
  <cp:lastModifiedBy>Heun, Nicole A.</cp:lastModifiedBy>
  <cp:revision>2</cp:revision>
  <dcterms:created xsi:type="dcterms:W3CDTF">2016-02-17T21:11:00Z</dcterms:created>
  <dcterms:modified xsi:type="dcterms:W3CDTF">2016-02-17T21:11:00Z</dcterms:modified>
</cp:coreProperties>
</file>