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D02" w:rsidRDefault="00F12D02">
      <w:r>
        <w:tab/>
        <w:t xml:space="preserve"> </w:t>
      </w:r>
    </w:p>
    <w:p w:rsidR="00F12D02" w:rsidRDefault="00F12D02"/>
    <w:p w:rsidR="00F12D02" w:rsidRDefault="00F12D02"/>
    <w:tbl>
      <w:tblPr>
        <w:tblW w:w="0" w:type="auto"/>
        <w:tblLook w:val="01E0" w:firstRow="1" w:lastRow="1" w:firstColumn="1" w:lastColumn="1" w:noHBand="0" w:noVBand="0"/>
      </w:tblPr>
      <w:tblGrid>
        <w:gridCol w:w="6478"/>
        <w:gridCol w:w="6482"/>
      </w:tblGrid>
      <w:tr w:rsidR="00F12D02">
        <w:tc>
          <w:tcPr>
            <w:tcW w:w="6588" w:type="dxa"/>
            <w:shd w:val="clear" w:color="auto" w:fill="auto"/>
          </w:tcPr>
          <w:p w:rsidR="00F12D02" w:rsidRDefault="00F12D02"/>
          <w:p w:rsidR="00F12D02" w:rsidRDefault="007C5798">
            <w:r>
              <w:rPr>
                <w:noProof/>
              </w:rPr>
              <w:drawing>
                <wp:inline distT="0" distB="0" distL="0" distR="0">
                  <wp:extent cx="1371600" cy="517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517525"/>
                          </a:xfrm>
                          <a:prstGeom prst="rect">
                            <a:avLst/>
                          </a:prstGeom>
                          <a:noFill/>
                          <a:ln>
                            <a:noFill/>
                          </a:ln>
                          <a:effectLst/>
                        </pic:spPr>
                      </pic:pic>
                    </a:graphicData>
                  </a:graphic>
                </wp:inline>
              </w:drawing>
            </w:r>
          </w:p>
        </w:tc>
        <w:tc>
          <w:tcPr>
            <w:tcW w:w="6588" w:type="dxa"/>
            <w:shd w:val="clear" w:color="auto" w:fill="auto"/>
          </w:tcPr>
          <w:p w:rsidR="00F12D02" w:rsidRDefault="007C5798">
            <w:pPr>
              <w:jc w:val="right"/>
            </w:pPr>
            <w:r>
              <w:rPr>
                <w:noProof/>
              </w:rPr>
              <w:drawing>
                <wp:inline distT="0" distB="0" distL="0" distR="0">
                  <wp:extent cx="1485900" cy="972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972820"/>
                          </a:xfrm>
                          <a:prstGeom prst="rect">
                            <a:avLst/>
                          </a:prstGeom>
                          <a:noFill/>
                          <a:ln>
                            <a:noFill/>
                          </a:ln>
                          <a:effectLst/>
                        </pic:spPr>
                      </pic:pic>
                    </a:graphicData>
                  </a:graphic>
                </wp:inline>
              </w:drawing>
            </w:r>
          </w:p>
        </w:tc>
      </w:tr>
    </w:tbl>
    <w:p w:rsidR="00F12D02" w:rsidRDefault="00F12D02"/>
    <w:p w:rsidR="00F12D02" w:rsidRDefault="00F12D02"/>
    <w:p w:rsidR="00F12D02" w:rsidRDefault="00F12D02"/>
    <w:p w:rsidR="00F12D02" w:rsidRDefault="00F12D02">
      <w:pPr>
        <w:ind w:firstLine="720"/>
      </w:pPr>
      <w:r>
        <w:tab/>
      </w:r>
      <w:r>
        <w:tab/>
      </w:r>
      <w:r>
        <w:tab/>
      </w:r>
      <w:r>
        <w:tab/>
      </w:r>
      <w:r>
        <w:tab/>
      </w:r>
      <w:r>
        <w:tab/>
      </w:r>
      <w:r>
        <w:tab/>
      </w:r>
      <w:r>
        <w:tab/>
      </w:r>
      <w:r>
        <w:tab/>
      </w:r>
      <w:r>
        <w:tab/>
      </w:r>
    </w:p>
    <w:p w:rsidR="00F12D02" w:rsidRDefault="00F12D02">
      <w:pPr>
        <w:ind w:left="10080" w:firstLine="720"/>
      </w:pPr>
    </w:p>
    <w:p w:rsidR="00F12D02" w:rsidRDefault="00F12D02"/>
    <w:p w:rsidR="00F12D02" w:rsidRDefault="00F12D02">
      <w:r>
        <w:tab/>
      </w:r>
    </w:p>
    <w:p w:rsidR="00F12D02" w:rsidRDefault="00F12D02"/>
    <w:p w:rsidR="00F12D02" w:rsidRDefault="00F12D02">
      <w:pPr>
        <w:rPr>
          <w:rFonts w:ascii="Arial" w:hAnsi="Arial" w:cs="Arial"/>
          <w:b/>
          <w:sz w:val="36"/>
        </w:rPr>
      </w:pPr>
      <w:r>
        <w:rPr>
          <w:rFonts w:ascii="Arial" w:hAnsi="Arial" w:cs="Arial"/>
          <w:b/>
          <w:sz w:val="36"/>
        </w:rPr>
        <w:t>MSRS Report Format Documentation</w:t>
      </w:r>
    </w:p>
    <w:p w:rsidR="00F12D02" w:rsidRDefault="00F12D02">
      <w:pPr>
        <w:rPr>
          <w:rFonts w:ascii="Arial" w:hAnsi="Arial" w:cs="Arial"/>
          <w:b/>
          <w:sz w:val="40"/>
        </w:rPr>
      </w:pPr>
    </w:p>
    <w:p w:rsidR="00F12D02" w:rsidRDefault="00F12D02">
      <w:pPr>
        <w:rPr>
          <w:rFonts w:ascii="Arial" w:hAnsi="Arial" w:cs="Arial"/>
          <w:b/>
          <w:sz w:val="40"/>
        </w:rPr>
      </w:pPr>
      <w:r>
        <w:rPr>
          <w:rFonts w:ascii="Arial" w:hAnsi="Arial" w:cs="Arial"/>
          <w:b/>
          <w:sz w:val="40"/>
        </w:rPr>
        <w:t>Synchronized Reserve Tier 1 Credits</w:t>
      </w:r>
    </w:p>
    <w:p w:rsidR="00F12D02" w:rsidRDefault="00F12D02">
      <w:pPr>
        <w:rPr>
          <w:rFonts w:ascii="Arial" w:hAnsi="Arial" w:cs="Arial"/>
          <w:b/>
          <w:sz w:val="40"/>
        </w:rPr>
      </w:pPr>
    </w:p>
    <w:p w:rsidR="00F12D02" w:rsidRDefault="00F12D02">
      <w:pPr>
        <w:rPr>
          <w:rFonts w:ascii="Arial" w:hAnsi="Arial" w:cs="Arial"/>
          <w:sz w:val="22"/>
        </w:rPr>
      </w:pPr>
      <w:r>
        <w:rPr>
          <w:rFonts w:ascii="Arial" w:hAnsi="Arial" w:cs="Arial"/>
          <w:b/>
          <w:sz w:val="28"/>
        </w:rPr>
        <w:t xml:space="preserve">Version </w:t>
      </w:r>
      <w:r w:rsidR="00DA2F1D">
        <w:rPr>
          <w:rFonts w:ascii="Arial" w:hAnsi="Arial" w:cs="Arial"/>
          <w:b/>
          <w:sz w:val="28"/>
        </w:rPr>
        <w:t>7</w:t>
      </w:r>
    </w:p>
    <w:p w:rsidR="00F12D02" w:rsidRDefault="00F12D02"/>
    <w:p w:rsidR="00F12D02" w:rsidRDefault="00F12D02"/>
    <w:p w:rsidR="00F12D02" w:rsidRDefault="00F12D02"/>
    <w:p w:rsidR="00F12D02" w:rsidRDefault="00F12D02"/>
    <w:p w:rsidR="00F12D02" w:rsidRDefault="00F12D02"/>
    <w:p w:rsidR="00F12D02" w:rsidRDefault="00F12D02"/>
    <w:p w:rsidR="00F12D02" w:rsidRDefault="00F12D02"/>
    <w:p w:rsidR="00F12D02" w:rsidRDefault="00F12D02"/>
    <w:p w:rsidR="00F12D02" w:rsidRDefault="00F12D02"/>
    <w:p w:rsidR="00F12D02" w:rsidRDefault="00F12D02"/>
    <w:p w:rsidR="00F12D02" w:rsidRDefault="00F12D02"/>
    <w:p w:rsidR="00F12D02" w:rsidRDefault="00F12D02">
      <w:bookmarkStart w:id="0" w:name="_GoBack"/>
      <w:bookmarkEnd w:id="0"/>
    </w:p>
    <w:p w:rsidR="00F12D02" w:rsidRDefault="00F12D02"/>
    <w:p w:rsidR="00F12D02" w:rsidRDefault="00F12D02"/>
    <w:p w:rsidR="00F12D02" w:rsidRDefault="00F12D02">
      <w:pPr>
        <w:rPr>
          <w:rFonts w:ascii="Arial" w:hAnsi="Arial" w:cs="Arial"/>
        </w:rPr>
      </w:pPr>
      <w:r>
        <w:rPr>
          <w:rFonts w:ascii="Arial" w:hAnsi="Arial" w:cs="Arial"/>
        </w:rPr>
        <w:t>Revision History</w:t>
      </w:r>
    </w:p>
    <w:p w:rsidR="00F12D02" w:rsidRDefault="00F12D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6"/>
        <w:gridCol w:w="1453"/>
        <w:gridCol w:w="8411"/>
      </w:tblGrid>
      <w:tr w:rsidR="00F12D02" w:rsidTr="00DA2F1D">
        <w:trPr>
          <w:trHeight w:val="192"/>
        </w:trPr>
        <w:tc>
          <w:tcPr>
            <w:tcW w:w="2026" w:type="dxa"/>
            <w:shd w:val="clear" w:color="auto" w:fill="808080"/>
          </w:tcPr>
          <w:p w:rsidR="00F12D02" w:rsidRDefault="00F12D02" w:rsidP="00DA2F1D">
            <w:pPr>
              <w:jc w:val="center"/>
              <w:rPr>
                <w:rFonts w:ascii="Arial" w:hAnsi="Arial" w:cs="Arial"/>
                <w:b/>
                <w:caps/>
                <w:sz w:val="16"/>
              </w:rPr>
            </w:pPr>
            <w:r>
              <w:rPr>
                <w:rFonts w:ascii="Arial" w:hAnsi="Arial" w:cs="Arial"/>
                <w:b/>
                <w:caps/>
                <w:sz w:val="16"/>
              </w:rPr>
              <w:t>Date</w:t>
            </w:r>
          </w:p>
        </w:tc>
        <w:tc>
          <w:tcPr>
            <w:tcW w:w="1453" w:type="dxa"/>
            <w:shd w:val="clear" w:color="auto" w:fill="808080"/>
          </w:tcPr>
          <w:p w:rsidR="00F12D02" w:rsidRDefault="00F12D02" w:rsidP="00DA2F1D">
            <w:pPr>
              <w:jc w:val="center"/>
              <w:rPr>
                <w:rFonts w:ascii="Arial" w:hAnsi="Arial" w:cs="Arial"/>
                <w:b/>
                <w:caps/>
                <w:sz w:val="16"/>
              </w:rPr>
            </w:pPr>
            <w:r>
              <w:rPr>
                <w:rFonts w:ascii="Arial" w:hAnsi="Arial" w:cs="Arial"/>
                <w:b/>
                <w:caps/>
                <w:sz w:val="16"/>
              </w:rPr>
              <w:t>Revision</w:t>
            </w:r>
          </w:p>
        </w:tc>
        <w:tc>
          <w:tcPr>
            <w:tcW w:w="8411" w:type="dxa"/>
            <w:shd w:val="clear" w:color="auto" w:fill="808080"/>
          </w:tcPr>
          <w:p w:rsidR="00F12D02" w:rsidRDefault="00F12D02">
            <w:pPr>
              <w:rPr>
                <w:rFonts w:ascii="Arial" w:hAnsi="Arial" w:cs="Arial"/>
                <w:b/>
                <w:caps/>
                <w:sz w:val="16"/>
              </w:rPr>
            </w:pPr>
            <w:r>
              <w:rPr>
                <w:rFonts w:ascii="Arial" w:hAnsi="Arial" w:cs="Arial"/>
                <w:b/>
                <w:caps/>
                <w:sz w:val="16"/>
              </w:rPr>
              <w:t>Description</w:t>
            </w:r>
          </w:p>
        </w:tc>
      </w:tr>
      <w:tr w:rsidR="00F12D02" w:rsidTr="00DA2F1D">
        <w:trPr>
          <w:trHeight w:val="228"/>
        </w:trPr>
        <w:tc>
          <w:tcPr>
            <w:tcW w:w="2026" w:type="dxa"/>
          </w:tcPr>
          <w:p w:rsidR="00F12D02" w:rsidRDefault="00F12D02" w:rsidP="00DA2F1D">
            <w:pPr>
              <w:jc w:val="center"/>
              <w:rPr>
                <w:rFonts w:ascii="Arial" w:hAnsi="Arial" w:cs="Arial"/>
                <w:sz w:val="20"/>
                <w:szCs w:val="20"/>
              </w:rPr>
            </w:pPr>
            <w:smartTag w:uri="urn:schemas-microsoft-com:office:smarttags" w:element="date">
              <w:smartTagPr>
                <w:attr w:name="Month" w:val="10"/>
                <w:attr w:name="Day" w:val="19"/>
                <w:attr w:name="Year" w:val="2007"/>
              </w:smartTagPr>
              <w:r>
                <w:rPr>
                  <w:rFonts w:ascii="Arial" w:hAnsi="Arial" w:cs="Arial"/>
                  <w:sz w:val="20"/>
                  <w:szCs w:val="20"/>
                </w:rPr>
                <w:t>10/19/2007</w:t>
              </w:r>
            </w:smartTag>
          </w:p>
        </w:tc>
        <w:tc>
          <w:tcPr>
            <w:tcW w:w="1453" w:type="dxa"/>
          </w:tcPr>
          <w:p w:rsidR="00F12D02" w:rsidRDefault="00F12D02" w:rsidP="00DA2F1D">
            <w:pPr>
              <w:jc w:val="center"/>
              <w:rPr>
                <w:rFonts w:ascii="Arial" w:hAnsi="Arial" w:cs="Arial"/>
                <w:sz w:val="20"/>
                <w:szCs w:val="20"/>
              </w:rPr>
            </w:pPr>
            <w:r>
              <w:rPr>
                <w:rFonts w:ascii="Arial" w:hAnsi="Arial" w:cs="Arial"/>
                <w:sz w:val="20"/>
                <w:szCs w:val="20"/>
              </w:rPr>
              <w:t>1</w:t>
            </w:r>
          </w:p>
        </w:tc>
        <w:tc>
          <w:tcPr>
            <w:tcW w:w="8411" w:type="dxa"/>
          </w:tcPr>
          <w:p w:rsidR="00F12D02" w:rsidRDefault="00F12D02">
            <w:pPr>
              <w:rPr>
                <w:rFonts w:ascii="Arial" w:hAnsi="Arial" w:cs="Arial"/>
                <w:sz w:val="20"/>
                <w:szCs w:val="20"/>
              </w:rPr>
            </w:pPr>
            <w:r>
              <w:rPr>
                <w:rFonts w:ascii="Arial" w:hAnsi="Arial" w:cs="Arial"/>
                <w:sz w:val="20"/>
                <w:szCs w:val="20"/>
              </w:rPr>
              <w:t>Initial Distribution</w:t>
            </w:r>
          </w:p>
        </w:tc>
      </w:tr>
      <w:tr w:rsidR="00F12D02" w:rsidTr="00DA2F1D">
        <w:trPr>
          <w:trHeight w:val="720"/>
        </w:trPr>
        <w:tc>
          <w:tcPr>
            <w:tcW w:w="2026" w:type="dxa"/>
          </w:tcPr>
          <w:p w:rsidR="00F12D02" w:rsidRDefault="00F12D02" w:rsidP="00DA2F1D">
            <w:pPr>
              <w:jc w:val="center"/>
              <w:rPr>
                <w:rFonts w:ascii="Arial" w:hAnsi="Arial" w:cs="Arial"/>
                <w:sz w:val="20"/>
                <w:szCs w:val="20"/>
              </w:rPr>
            </w:pPr>
            <w:smartTag w:uri="urn:schemas-microsoft-com:office:smarttags" w:element="date">
              <w:smartTagPr>
                <w:attr w:name="Month" w:val="11"/>
                <w:attr w:name="Day" w:val="16"/>
                <w:attr w:name="Year" w:val="2007"/>
              </w:smartTagPr>
              <w:r>
                <w:rPr>
                  <w:rFonts w:ascii="Arial" w:hAnsi="Arial" w:cs="Arial"/>
                  <w:sz w:val="20"/>
                  <w:szCs w:val="20"/>
                </w:rPr>
                <w:t>11/16/2007</w:t>
              </w:r>
            </w:smartTag>
          </w:p>
        </w:tc>
        <w:tc>
          <w:tcPr>
            <w:tcW w:w="1453" w:type="dxa"/>
          </w:tcPr>
          <w:p w:rsidR="00F12D02" w:rsidRDefault="00F12D02" w:rsidP="00DA2F1D">
            <w:pPr>
              <w:jc w:val="center"/>
              <w:rPr>
                <w:rFonts w:ascii="Arial" w:hAnsi="Arial" w:cs="Arial"/>
                <w:sz w:val="20"/>
                <w:szCs w:val="20"/>
              </w:rPr>
            </w:pPr>
            <w:r>
              <w:rPr>
                <w:rFonts w:ascii="Arial" w:hAnsi="Arial" w:cs="Arial"/>
                <w:sz w:val="20"/>
                <w:szCs w:val="20"/>
              </w:rPr>
              <w:t>2</w:t>
            </w:r>
          </w:p>
        </w:tc>
        <w:tc>
          <w:tcPr>
            <w:tcW w:w="8411" w:type="dxa"/>
          </w:tcPr>
          <w:p w:rsidR="00F12D02" w:rsidRDefault="00F12D02">
            <w:pPr>
              <w:rPr>
                <w:rFonts w:ascii="Arial" w:hAnsi="Arial" w:cs="Arial"/>
                <w:sz w:val="20"/>
                <w:szCs w:val="20"/>
              </w:rPr>
            </w:pPr>
            <w:r>
              <w:rPr>
                <w:rFonts w:ascii="Arial" w:hAnsi="Arial" w:cs="Arial"/>
                <w:sz w:val="20"/>
                <w:szCs w:val="20"/>
              </w:rPr>
              <w:t>Updated the XML column name for the Tier 1 Premium Price column from TIER1_PREMUIM_PRICE to TIER1_PREMIUM_PRICE</w:t>
            </w:r>
          </w:p>
        </w:tc>
      </w:tr>
      <w:tr w:rsidR="00F12D02" w:rsidTr="00DA2F1D">
        <w:trPr>
          <w:trHeight w:val="228"/>
        </w:trPr>
        <w:tc>
          <w:tcPr>
            <w:tcW w:w="2026" w:type="dxa"/>
          </w:tcPr>
          <w:p w:rsidR="00F12D02" w:rsidRDefault="00F12D02" w:rsidP="00DA2F1D">
            <w:pPr>
              <w:jc w:val="center"/>
              <w:rPr>
                <w:rFonts w:ascii="Arial" w:hAnsi="Arial" w:cs="Arial"/>
                <w:sz w:val="20"/>
                <w:szCs w:val="20"/>
              </w:rPr>
            </w:pPr>
            <w:smartTag w:uri="urn:schemas-microsoft-com:office:smarttags" w:element="date">
              <w:smartTagPr>
                <w:attr w:name="Month" w:val="5"/>
                <w:attr w:name="Day" w:val="4"/>
                <w:attr w:name="Year" w:val="2008"/>
              </w:smartTagPr>
              <w:r>
                <w:rPr>
                  <w:rFonts w:ascii="Arial" w:hAnsi="Arial" w:cs="Arial"/>
                  <w:sz w:val="20"/>
                  <w:szCs w:val="20"/>
                </w:rPr>
                <w:t>5/4/2008</w:t>
              </w:r>
            </w:smartTag>
          </w:p>
        </w:tc>
        <w:tc>
          <w:tcPr>
            <w:tcW w:w="1453" w:type="dxa"/>
          </w:tcPr>
          <w:p w:rsidR="00F12D02" w:rsidRDefault="00F12D02" w:rsidP="00DA2F1D">
            <w:pPr>
              <w:jc w:val="center"/>
              <w:rPr>
                <w:rFonts w:ascii="Arial" w:hAnsi="Arial" w:cs="Arial"/>
                <w:sz w:val="20"/>
                <w:szCs w:val="20"/>
              </w:rPr>
            </w:pPr>
            <w:r>
              <w:rPr>
                <w:rFonts w:ascii="Arial" w:hAnsi="Arial" w:cs="Arial"/>
                <w:sz w:val="20"/>
                <w:szCs w:val="20"/>
              </w:rPr>
              <w:t>3</w:t>
            </w:r>
          </w:p>
        </w:tc>
        <w:tc>
          <w:tcPr>
            <w:tcW w:w="8411" w:type="dxa"/>
          </w:tcPr>
          <w:p w:rsidR="00F12D02" w:rsidRDefault="00F12D02">
            <w:pPr>
              <w:rPr>
                <w:rFonts w:ascii="Arial" w:hAnsi="Arial" w:cs="Arial"/>
                <w:sz w:val="20"/>
                <w:szCs w:val="20"/>
              </w:rPr>
            </w:pPr>
            <w:r>
              <w:rPr>
                <w:rFonts w:ascii="Arial" w:hAnsi="Arial" w:cs="Arial"/>
                <w:sz w:val="20"/>
                <w:szCs w:val="20"/>
              </w:rPr>
              <w:t>Updated Tier 1 Credit MWh calculation</w:t>
            </w:r>
          </w:p>
        </w:tc>
      </w:tr>
      <w:tr w:rsidR="00F12D02" w:rsidTr="00DA2F1D">
        <w:trPr>
          <w:trHeight w:val="720"/>
        </w:trPr>
        <w:tc>
          <w:tcPr>
            <w:tcW w:w="2026" w:type="dxa"/>
            <w:tcBorders>
              <w:top w:val="single" w:sz="4" w:space="0" w:color="auto"/>
              <w:left w:val="single" w:sz="4" w:space="0" w:color="auto"/>
              <w:bottom w:val="single" w:sz="4" w:space="0" w:color="auto"/>
              <w:right w:val="single" w:sz="4" w:space="0" w:color="auto"/>
            </w:tcBorders>
          </w:tcPr>
          <w:p w:rsidR="00F12D02" w:rsidRDefault="00F12D02" w:rsidP="00DA2F1D">
            <w:pPr>
              <w:jc w:val="center"/>
              <w:rPr>
                <w:rFonts w:ascii="Arial" w:hAnsi="Arial" w:cs="Arial"/>
                <w:sz w:val="20"/>
                <w:szCs w:val="20"/>
              </w:rPr>
            </w:pPr>
            <w:r>
              <w:rPr>
                <w:rFonts w:ascii="Arial" w:hAnsi="Arial" w:cs="Arial"/>
                <w:sz w:val="20"/>
                <w:szCs w:val="20"/>
              </w:rPr>
              <w:t>11/5/2012</w:t>
            </w:r>
          </w:p>
        </w:tc>
        <w:tc>
          <w:tcPr>
            <w:tcW w:w="1453" w:type="dxa"/>
            <w:tcBorders>
              <w:top w:val="single" w:sz="4" w:space="0" w:color="auto"/>
              <w:left w:val="single" w:sz="4" w:space="0" w:color="auto"/>
              <w:bottom w:val="single" w:sz="4" w:space="0" w:color="auto"/>
              <w:right w:val="single" w:sz="4" w:space="0" w:color="auto"/>
            </w:tcBorders>
          </w:tcPr>
          <w:p w:rsidR="00F12D02" w:rsidRDefault="00F12D02" w:rsidP="00DA2F1D">
            <w:pPr>
              <w:jc w:val="center"/>
              <w:rPr>
                <w:rFonts w:ascii="Arial" w:hAnsi="Arial" w:cs="Arial"/>
                <w:sz w:val="20"/>
                <w:szCs w:val="20"/>
              </w:rPr>
            </w:pPr>
            <w:r>
              <w:rPr>
                <w:rFonts w:ascii="Arial" w:hAnsi="Arial" w:cs="Arial"/>
                <w:sz w:val="20"/>
                <w:szCs w:val="20"/>
              </w:rPr>
              <w:t>4</w:t>
            </w:r>
          </w:p>
        </w:tc>
        <w:tc>
          <w:tcPr>
            <w:tcW w:w="8411" w:type="dxa"/>
            <w:tcBorders>
              <w:top w:val="single" w:sz="4" w:space="0" w:color="auto"/>
              <w:left w:val="single" w:sz="4" w:space="0" w:color="auto"/>
              <w:bottom w:val="single" w:sz="4" w:space="0" w:color="auto"/>
              <w:right w:val="single" w:sz="4" w:space="0" w:color="auto"/>
            </w:tcBorders>
          </w:tcPr>
          <w:p w:rsidR="00F12D02" w:rsidRDefault="00F12D02">
            <w:pPr>
              <w:rPr>
                <w:rFonts w:ascii="Arial" w:hAnsi="Arial" w:cs="Arial"/>
                <w:sz w:val="20"/>
                <w:szCs w:val="20"/>
              </w:rPr>
            </w:pPr>
            <w:r>
              <w:rPr>
                <w:rFonts w:ascii="Arial" w:hAnsi="Arial" w:cs="Arial"/>
                <w:sz w:val="20"/>
                <w:szCs w:val="20"/>
              </w:rPr>
              <w:t>Updated ‘Summary of Changes and Special Logic‘ section for Tier 1 Premium Price ($) and RT LMP ($) columns effective 10/1/2012.</w:t>
            </w:r>
          </w:p>
        </w:tc>
      </w:tr>
      <w:tr w:rsidR="008229B8" w:rsidTr="00DA2F1D">
        <w:trPr>
          <w:trHeight w:val="720"/>
        </w:trPr>
        <w:tc>
          <w:tcPr>
            <w:tcW w:w="2026" w:type="dxa"/>
            <w:tcBorders>
              <w:top w:val="single" w:sz="4" w:space="0" w:color="auto"/>
              <w:left w:val="single" w:sz="4" w:space="0" w:color="auto"/>
              <w:bottom w:val="single" w:sz="4" w:space="0" w:color="auto"/>
              <w:right w:val="single" w:sz="4" w:space="0" w:color="auto"/>
            </w:tcBorders>
          </w:tcPr>
          <w:p w:rsidR="008229B8" w:rsidRDefault="00411F04" w:rsidP="00DA2F1D">
            <w:pPr>
              <w:jc w:val="center"/>
              <w:rPr>
                <w:rFonts w:ascii="Arial" w:hAnsi="Arial" w:cs="Arial"/>
                <w:sz w:val="20"/>
                <w:szCs w:val="20"/>
              </w:rPr>
            </w:pPr>
            <w:r>
              <w:rPr>
                <w:rFonts w:ascii="Arial" w:hAnsi="Arial" w:cs="Arial"/>
                <w:sz w:val="20"/>
                <w:szCs w:val="20"/>
              </w:rPr>
              <w:t>8/7/2014</w:t>
            </w:r>
          </w:p>
        </w:tc>
        <w:tc>
          <w:tcPr>
            <w:tcW w:w="1453" w:type="dxa"/>
            <w:tcBorders>
              <w:top w:val="single" w:sz="4" w:space="0" w:color="auto"/>
              <w:left w:val="single" w:sz="4" w:space="0" w:color="auto"/>
              <w:bottom w:val="single" w:sz="4" w:space="0" w:color="auto"/>
              <w:right w:val="single" w:sz="4" w:space="0" w:color="auto"/>
            </w:tcBorders>
          </w:tcPr>
          <w:p w:rsidR="008229B8" w:rsidRDefault="008229B8" w:rsidP="00DA2F1D">
            <w:pPr>
              <w:jc w:val="center"/>
              <w:rPr>
                <w:rFonts w:ascii="Arial" w:hAnsi="Arial" w:cs="Arial"/>
                <w:sz w:val="20"/>
                <w:szCs w:val="20"/>
              </w:rPr>
            </w:pPr>
            <w:r>
              <w:rPr>
                <w:rFonts w:ascii="Arial" w:hAnsi="Arial" w:cs="Arial"/>
                <w:sz w:val="20"/>
                <w:szCs w:val="20"/>
              </w:rPr>
              <w:t>5</w:t>
            </w:r>
          </w:p>
        </w:tc>
        <w:tc>
          <w:tcPr>
            <w:tcW w:w="8411" w:type="dxa"/>
            <w:tcBorders>
              <w:top w:val="single" w:sz="4" w:space="0" w:color="auto"/>
              <w:left w:val="single" w:sz="4" w:space="0" w:color="auto"/>
              <w:bottom w:val="single" w:sz="4" w:space="0" w:color="auto"/>
              <w:right w:val="single" w:sz="4" w:space="0" w:color="auto"/>
            </w:tcBorders>
          </w:tcPr>
          <w:p w:rsidR="008229B8" w:rsidRDefault="008229B8" w:rsidP="00411F04">
            <w:pPr>
              <w:rPr>
                <w:rFonts w:ascii="Arial" w:hAnsi="Arial" w:cs="Arial"/>
                <w:sz w:val="20"/>
                <w:szCs w:val="20"/>
              </w:rPr>
            </w:pPr>
            <w:r>
              <w:rPr>
                <w:rFonts w:ascii="Arial" w:hAnsi="Arial" w:cs="Arial"/>
                <w:sz w:val="20"/>
                <w:szCs w:val="20"/>
              </w:rPr>
              <w:t>Updated Supporting Calculations</w:t>
            </w:r>
            <w:r w:rsidR="00C941D3">
              <w:rPr>
                <w:rFonts w:ascii="Arial" w:hAnsi="Arial" w:cs="Arial"/>
                <w:sz w:val="20"/>
                <w:szCs w:val="20"/>
              </w:rPr>
              <w:t xml:space="preserve"> section </w:t>
            </w:r>
            <w:r w:rsidR="00656011">
              <w:rPr>
                <w:rFonts w:ascii="Arial" w:hAnsi="Arial" w:cs="Arial"/>
                <w:sz w:val="20"/>
                <w:szCs w:val="20"/>
              </w:rPr>
              <w:t xml:space="preserve">to </w:t>
            </w:r>
            <w:r w:rsidR="00411F04">
              <w:rPr>
                <w:rFonts w:ascii="Arial" w:hAnsi="Arial" w:cs="Arial"/>
                <w:sz w:val="20"/>
                <w:szCs w:val="20"/>
              </w:rPr>
              <w:t>provide more detailed information about the data that appears on the report.</w:t>
            </w:r>
          </w:p>
        </w:tc>
      </w:tr>
      <w:tr w:rsidR="00B53F4C" w:rsidTr="00DA2F1D">
        <w:trPr>
          <w:trHeight w:val="1169"/>
        </w:trPr>
        <w:tc>
          <w:tcPr>
            <w:tcW w:w="2026" w:type="dxa"/>
            <w:tcBorders>
              <w:top w:val="single" w:sz="4" w:space="0" w:color="auto"/>
              <w:left w:val="single" w:sz="4" w:space="0" w:color="auto"/>
              <w:bottom w:val="single" w:sz="4" w:space="0" w:color="auto"/>
              <w:right w:val="single" w:sz="4" w:space="0" w:color="auto"/>
            </w:tcBorders>
          </w:tcPr>
          <w:p w:rsidR="00B53F4C" w:rsidRDefault="00217999" w:rsidP="00DA2F1D">
            <w:pPr>
              <w:jc w:val="center"/>
              <w:rPr>
                <w:rFonts w:ascii="Arial" w:hAnsi="Arial" w:cs="Arial"/>
                <w:sz w:val="20"/>
                <w:szCs w:val="20"/>
              </w:rPr>
            </w:pPr>
            <w:r>
              <w:rPr>
                <w:rFonts w:ascii="Arial" w:hAnsi="Arial" w:cs="Arial"/>
                <w:sz w:val="20"/>
                <w:szCs w:val="20"/>
              </w:rPr>
              <w:t>4</w:t>
            </w:r>
            <w:r w:rsidR="00B53F4C">
              <w:rPr>
                <w:rFonts w:ascii="Arial" w:hAnsi="Arial" w:cs="Arial"/>
                <w:sz w:val="20"/>
                <w:szCs w:val="20"/>
              </w:rPr>
              <w:t>/1/2018</w:t>
            </w:r>
          </w:p>
        </w:tc>
        <w:tc>
          <w:tcPr>
            <w:tcW w:w="1453" w:type="dxa"/>
            <w:tcBorders>
              <w:top w:val="single" w:sz="4" w:space="0" w:color="auto"/>
              <w:left w:val="single" w:sz="4" w:space="0" w:color="auto"/>
              <w:bottom w:val="single" w:sz="4" w:space="0" w:color="auto"/>
              <w:right w:val="single" w:sz="4" w:space="0" w:color="auto"/>
            </w:tcBorders>
          </w:tcPr>
          <w:p w:rsidR="00B53F4C" w:rsidRDefault="00B53F4C" w:rsidP="00DA2F1D">
            <w:pPr>
              <w:jc w:val="center"/>
              <w:rPr>
                <w:rFonts w:ascii="Arial" w:hAnsi="Arial" w:cs="Arial"/>
                <w:sz w:val="20"/>
                <w:szCs w:val="20"/>
              </w:rPr>
            </w:pPr>
            <w:r>
              <w:rPr>
                <w:rFonts w:ascii="Arial" w:hAnsi="Arial" w:cs="Arial"/>
                <w:sz w:val="20"/>
                <w:szCs w:val="20"/>
              </w:rPr>
              <w:t>6</w:t>
            </w:r>
          </w:p>
        </w:tc>
        <w:tc>
          <w:tcPr>
            <w:tcW w:w="8411" w:type="dxa"/>
            <w:tcBorders>
              <w:top w:val="single" w:sz="4" w:space="0" w:color="auto"/>
              <w:left w:val="single" w:sz="4" w:space="0" w:color="auto"/>
              <w:bottom w:val="single" w:sz="4" w:space="0" w:color="auto"/>
              <w:right w:val="single" w:sz="4" w:space="0" w:color="auto"/>
            </w:tcBorders>
          </w:tcPr>
          <w:p w:rsidR="00B53F4C" w:rsidRDefault="005751A9" w:rsidP="00411F04">
            <w:pPr>
              <w:rPr>
                <w:rFonts w:ascii="Arial" w:hAnsi="Arial" w:cs="Arial"/>
                <w:sz w:val="20"/>
                <w:szCs w:val="20"/>
              </w:rPr>
            </w:pPr>
            <w:r>
              <w:rPr>
                <w:rFonts w:ascii="Arial" w:hAnsi="Arial" w:cs="Arial"/>
                <w:sz w:val="20"/>
                <w:szCs w:val="20"/>
              </w:rPr>
              <w:t>Updated EPT Hour Ending and GMT Hour Ending columns to EPT Interval Ending and GMT Interval Ending.  Removed RT LMP column.  Updated Summary of Changes and Special Logic with regards to 5 minute settlements implementation date.  Added 5 minute settlements section to supporting calculations.</w:t>
            </w:r>
          </w:p>
        </w:tc>
      </w:tr>
      <w:tr w:rsidR="00DA2F1D" w:rsidTr="00DA2F1D">
        <w:trPr>
          <w:trHeight w:val="1169"/>
        </w:trPr>
        <w:tc>
          <w:tcPr>
            <w:tcW w:w="2026" w:type="dxa"/>
            <w:tcBorders>
              <w:top w:val="single" w:sz="4" w:space="0" w:color="auto"/>
              <w:left w:val="single" w:sz="4" w:space="0" w:color="auto"/>
              <w:bottom w:val="single" w:sz="4" w:space="0" w:color="auto"/>
              <w:right w:val="single" w:sz="4" w:space="0" w:color="auto"/>
            </w:tcBorders>
          </w:tcPr>
          <w:p w:rsidR="00DA2F1D" w:rsidRDefault="00DA2F1D" w:rsidP="00DA2F1D">
            <w:pPr>
              <w:jc w:val="center"/>
              <w:rPr>
                <w:rFonts w:ascii="Arial" w:hAnsi="Arial" w:cs="Arial"/>
                <w:sz w:val="20"/>
                <w:szCs w:val="20"/>
              </w:rPr>
            </w:pPr>
            <w:r>
              <w:rPr>
                <w:rFonts w:ascii="Arial" w:hAnsi="Arial" w:cs="Arial"/>
                <w:sz w:val="20"/>
                <w:szCs w:val="20"/>
              </w:rPr>
              <w:t>2/21/2020</w:t>
            </w:r>
          </w:p>
        </w:tc>
        <w:tc>
          <w:tcPr>
            <w:tcW w:w="1453" w:type="dxa"/>
            <w:tcBorders>
              <w:top w:val="single" w:sz="4" w:space="0" w:color="auto"/>
              <w:left w:val="single" w:sz="4" w:space="0" w:color="auto"/>
              <w:bottom w:val="single" w:sz="4" w:space="0" w:color="auto"/>
              <w:right w:val="single" w:sz="4" w:space="0" w:color="auto"/>
            </w:tcBorders>
          </w:tcPr>
          <w:p w:rsidR="00DA2F1D" w:rsidRDefault="00DA2F1D" w:rsidP="00DA2F1D">
            <w:pPr>
              <w:jc w:val="center"/>
              <w:rPr>
                <w:rFonts w:ascii="Arial" w:hAnsi="Arial" w:cs="Arial"/>
                <w:sz w:val="20"/>
                <w:szCs w:val="20"/>
              </w:rPr>
            </w:pPr>
            <w:r>
              <w:rPr>
                <w:rFonts w:ascii="Arial" w:hAnsi="Arial" w:cs="Arial"/>
                <w:sz w:val="20"/>
                <w:szCs w:val="20"/>
              </w:rPr>
              <w:t>7</w:t>
            </w:r>
          </w:p>
        </w:tc>
        <w:tc>
          <w:tcPr>
            <w:tcW w:w="8411" w:type="dxa"/>
            <w:tcBorders>
              <w:top w:val="single" w:sz="4" w:space="0" w:color="auto"/>
              <w:left w:val="single" w:sz="4" w:space="0" w:color="auto"/>
              <w:bottom w:val="single" w:sz="4" w:space="0" w:color="auto"/>
              <w:right w:val="single" w:sz="4" w:space="0" w:color="auto"/>
            </w:tcBorders>
          </w:tcPr>
          <w:p w:rsidR="00DA2F1D" w:rsidRDefault="00DA2F1D" w:rsidP="00411F04">
            <w:pPr>
              <w:rPr>
                <w:rFonts w:ascii="Arial" w:hAnsi="Arial" w:cs="Arial"/>
                <w:sz w:val="20"/>
                <w:szCs w:val="20"/>
              </w:rPr>
            </w:pPr>
            <w:r>
              <w:rPr>
                <w:rFonts w:ascii="Arial" w:hAnsi="Arial" w:cs="Arial"/>
                <w:sz w:val="20"/>
                <w:szCs w:val="20"/>
              </w:rPr>
              <w:t>Removed all references to eSchedule(s) and/or eSchedule(s) reports.</w:t>
            </w:r>
          </w:p>
        </w:tc>
      </w:tr>
    </w:tbl>
    <w:p w:rsidR="00F12D02" w:rsidRDefault="00F12D02"/>
    <w:p w:rsidR="00F12D02" w:rsidRDefault="00F12D02">
      <w:r>
        <w:br w:type="page"/>
      </w:r>
    </w:p>
    <w:p w:rsidR="00F12D02" w:rsidRDefault="00F12D02">
      <w:pPr>
        <w:pStyle w:val="Heading1"/>
        <w:numPr>
          <w:ilvl w:val="0"/>
          <w:numId w:val="2"/>
        </w:numPr>
      </w:pPr>
      <w:bookmarkStart w:id="1" w:name="_Toc99774638"/>
      <w:r>
        <w:lastRenderedPageBreak/>
        <w:t>Report</w:t>
      </w:r>
    </w:p>
    <w:p w:rsidR="00F12D02" w:rsidRDefault="00F12D02">
      <w:pPr>
        <w:rPr>
          <w:rFonts w:ascii="Arial" w:hAnsi="Arial" w:cs="Arial"/>
          <w:b/>
          <w:sz w:val="20"/>
        </w:rPr>
      </w:pPr>
    </w:p>
    <w:p w:rsidR="00F12D02" w:rsidRDefault="00F12D02">
      <w:pPr>
        <w:ind w:left="432"/>
        <w:rPr>
          <w:rFonts w:ascii="Arial" w:hAnsi="Arial" w:cs="Arial"/>
          <w:sz w:val="20"/>
        </w:rPr>
      </w:pPr>
      <w:r>
        <w:rPr>
          <w:rFonts w:ascii="Arial" w:hAnsi="Arial" w:cs="Arial"/>
          <w:b/>
          <w:sz w:val="20"/>
        </w:rPr>
        <w:t>MSRS</w:t>
      </w:r>
      <w:r>
        <w:rPr>
          <w:rFonts w:ascii="Arial" w:hAnsi="Arial" w:cs="Arial"/>
          <w:sz w:val="20"/>
        </w:rPr>
        <w:t xml:space="preserve"> Report Name: Synchronized Reserve Tier 1 Credits</w:t>
      </w:r>
    </w:p>
    <w:p w:rsidR="00F12D02" w:rsidRDefault="00F12D02" w:rsidP="00B53F4C">
      <w:pPr>
        <w:rPr>
          <w:rFonts w:ascii="Arial" w:hAnsi="Arial" w:cs="Arial"/>
          <w:sz w:val="20"/>
        </w:rPr>
      </w:pPr>
    </w:p>
    <w:p w:rsidR="00F12D02" w:rsidRDefault="00F12D02">
      <w:pPr>
        <w:ind w:left="432"/>
        <w:rPr>
          <w:rFonts w:ascii="Arial" w:hAnsi="Arial" w:cs="Arial"/>
          <w:sz w:val="20"/>
        </w:rPr>
      </w:pPr>
      <w:r>
        <w:rPr>
          <w:rFonts w:ascii="Arial" w:hAnsi="Arial" w:cs="Arial"/>
          <w:sz w:val="20"/>
        </w:rPr>
        <w:t>Report short name for User Interface: Synchronized Reserve Tier 1 Credits</w:t>
      </w:r>
    </w:p>
    <w:p w:rsidR="00F12D02" w:rsidRDefault="00F12D02">
      <w:pPr>
        <w:ind w:left="432"/>
        <w:rPr>
          <w:rFonts w:ascii="Arial" w:hAnsi="Arial" w:cs="Arial"/>
          <w:sz w:val="20"/>
        </w:rPr>
      </w:pPr>
    </w:p>
    <w:p w:rsidR="00F12D02" w:rsidRDefault="00F12D02">
      <w:pPr>
        <w:ind w:left="432"/>
        <w:rPr>
          <w:rFonts w:ascii="Arial" w:hAnsi="Arial" w:cs="Arial"/>
          <w:sz w:val="20"/>
        </w:rPr>
      </w:pPr>
      <w:r>
        <w:rPr>
          <w:rFonts w:ascii="Arial" w:hAnsi="Arial" w:cs="Arial"/>
          <w:sz w:val="20"/>
        </w:rPr>
        <w:t>Download File Name Abbreviation: SRT1Cr</w:t>
      </w:r>
    </w:p>
    <w:p w:rsidR="00F12D02" w:rsidRDefault="00F12D02">
      <w:pPr>
        <w:ind w:left="432"/>
        <w:rPr>
          <w:rFonts w:ascii="Arial" w:hAnsi="Arial" w:cs="Arial"/>
          <w:sz w:val="20"/>
        </w:rPr>
      </w:pPr>
    </w:p>
    <w:p w:rsidR="00F12D02" w:rsidRDefault="00F12D02">
      <w:pPr>
        <w:ind w:left="432"/>
        <w:rPr>
          <w:rFonts w:ascii="Arial" w:hAnsi="Arial" w:cs="Arial"/>
          <w:sz w:val="20"/>
        </w:rPr>
      </w:pPr>
      <w:r>
        <w:rPr>
          <w:rFonts w:ascii="Arial" w:hAnsi="Arial" w:cs="Arial"/>
          <w:sz w:val="20"/>
        </w:rPr>
        <w:t xml:space="preserve">Data Granularity: </w:t>
      </w:r>
      <w:r w:rsidR="000E4B93">
        <w:rPr>
          <w:rFonts w:ascii="Arial" w:hAnsi="Arial" w:cs="Arial"/>
          <w:sz w:val="20"/>
        </w:rPr>
        <w:t>Sub-h</w:t>
      </w:r>
      <w:r>
        <w:rPr>
          <w:rFonts w:ascii="Arial" w:hAnsi="Arial" w:cs="Arial"/>
          <w:sz w:val="20"/>
        </w:rPr>
        <w:t>ourly</w:t>
      </w:r>
    </w:p>
    <w:p w:rsidR="00F12D02" w:rsidRDefault="00F12D02">
      <w:pPr>
        <w:ind w:left="432"/>
        <w:rPr>
          <w:rFonts w:ascii="Arial" w:hAnsi="Arial" w:cs="Arial"/>
          <w:sz w:val="20"/>
        </w:rPr>
      </w:pPr>
    </w:p>
    <w:p w:rsidR="00F12D02" w:rsidRDefault="00F12D02">
      <w:pPr>
        <w:ind w:left="432"/>
        <w:rPr>
          <w:rFonts w:ascii="Arial" w:hAnsi="Arial" w:cs="Arial"/>
          <w:sz w:val="20"/>
        </w:rPr>
      </w:pPr>
      <w:r>
        <w:rPr>
          <w:rFonts w:ascii="Arial" w:hAnsi="Arial" w:cs="Arial"/>
          <w:sz w:val="20"/>
        </w:rPr>
        <w:t>Frequency: Updated daily</w:t>
      </w:r>
    </w:p>
    <w:p w:rsidR="00F12D02" w:rsidRDefault="00F12D02">
      <w:pPr>
        <w:ind w:left="432"/>
        <w:rPr>
          <w:rFonts w:ascii="Arial" w:hAnsi="Arial" w:cs="Arial"/>
          <w:sz w:val="20"/>
        </w:rPr>
      </w:pPr>
    </w:p>
    <w:p w:rsidR="00F12D02" w:rsidRDefault="00F12D02">
      <w:pPr>
        <w:ind w:left="432"/>
        <w:rPr>
          <w:rFonts w:ascii="Arial" w:hAnsi="Arial" w:cs="Arial"/>
          <w:sz w:val="20"/>
        </w:rPr>
      </w:pPr>
      <w:r>
        <w:rPr>
          <w:rFonts w:ascii="Arial" w:hAnsi="Arial" w:cs="Arial"/>
          <w:sz w:val="20"/>
        </w:rPr>
        <w:t xml:space="preserve">Range Displayed on Report: Start Date through End Date </w:t>
      </w:r>
    </w:p>
    <w:p w:rsidR="00F12D02" w:rsidRDefault="00F12D02">
      <w:pPr>
        <w:rPr>
          <w:rFonts w:ascii="Arial" w:hAnsi="Arial" w:cs="Arial"/>
        </w:rPr>
      </w:pPr>
    </w:p>
    <w:p w:rsidR="00F12D02" w:rsidRDefault="00F12D02">
      <w:pPr>
        <w:pStyle w:val="Heading1"/>
      </w:pPr>
      <w:r>
        <w:t>Supported Billing Line Items</w:t>
      </w:r>
    </w:p>
    <w:p w:rsidR="00F12D02" w:rsidRDefault="00F12D02" w:rsidP="00E659B0">
      <w:pPr>
        <w:pStyle w:val="BulletList"/>
      </w:pPr>
      <w:r>
        <w:t>Synchronized Reserve Credit (2360)</w:t>
      </w:r>
    </w:p>
    <w:p w:rsidR="00F12D02" w:rsidRDefault="00F12D02">
      <w:pPr>
        <w:pStyle w:val="Heading1"/>
      </w:pPr>
      <w:r>
        <w:t>Report Content Summary</w:t>
      </w:r>
    </w:p>
    <w:p w:rsidR="00F12D02" w:rsidRDefault="00F12D02">
      <w:pPr>
        <w:ind w:left="432"/>
        <w:rPr>
          <w:rFonts w:ascii="Arial" w:hAnsi="Arial" w:cs="Arial"/>
          <w:sz w:val="20"/>
          <w:szCs w:val="20"/>
        </w:rPr>
      </w:pPr>
      <w:r>
        <w:rPr>
          <w:rFonts w:ascii="Arial" w:hAnsi="Arial" w:cs="Arial"/>
          <w:sz w:val="20"/>
          <w:szCs w:val="20"/>
        </w:rPr>
        <w:t>This report displays the customer account’s</w:t>
      </w:r>
      <w:r w:rsidR="00DB6EFD">
        <w:rPr>
          <w:rFonts w:ascii="Arial" w:hAnsi="Arial" w:cs="Arial"/>
          <w:sz w:val="20"/>
          <w:szCs w:val="20"/>
        </w:rPr>
        <w:t xml:space="preserve"> sub-</w:t>
      </w:r>
      <w:r>
        <w:rPr>
          <w:rFonts w:ascii="Arial" w:hAnsi="Arial" w:cs="Arial"/>
          <w:sz w:val="20"/>
          <w:szCs w:val="20"/>
        </w:rPr>
        <w:t xml:space="preserve"> hourly Synchronized Reserve Tier 1 Credit for each unit </w:t>
      </w:r>
      <w:r>
        <w:rPr>
          <w:rFonts w:ascii="Arial" w:hAnsi="Arial" w:cs="Arial"/>
          <w:sz w:val="20"/>
        </w:rPr>
        <w:t>that the customer account owns or jointly owns</w:t>
      </w:r>
      <w:r>
        <w:rPr>
          <w:rFonts w:ascii="Arial" w:hAnsi="Arial" w:cs="Arial"/>
          <w:sz w:val="20"/>
          <w:szCs w:val="20"/>
        </w:rPr>
        <w:t xml:space="preserve"> and</w:t>
      </w:r>
      <w:r>
        <w:rPr>
          <w:rFonts w:ascii="Arial" w:hAnsi="Arial" w:cs="Arial"/>
          <w:sz w:val="20"/>
        </w:rPr>
        <w:t xml:space="preserve"> where the unit’s Tier 1 Credit is greater than 0</w:t>
      </w:r>
      <w:r>
        <w:rPr>
          <w:rFonts w:ascii="Arial" w:hAnsi="Arial" w:cs="Arial"/>
          <w:sz w:val="20"/>
          <w:szCs w:val="20"/>
        </w:rPr>
        <w:t xml:space="preserve">.  </w:t>
      </w:r>
    </w:p>
    <w:p w:rsidR="00F12D02" w:rsidRDefault="00F12D02">
      <w:pPr>
        <w:ind w:left="432"/>
        <w:rPr>
          <w:rFonts w:ascii="Arial" w:hAnsi="Arial" w:cs="Arial"/>
          <w:sz w:val="20"/>
          <w:szCs w:val="20"/>
        </w:rPr>
      </w:pPr>
    </w:p>
    <w:p w:rsidR="00F12D02" w:rsidRDefault="00F12D02">
      <w:pPr>
        <w:ind w:left="432"/>
        <w:rPr>
          <w:rFonts w:ascii="Arial" w:hAnsi="Arial" w:cs="Arial"/>
          <w:sz w:val="20"/>
          <w:szCs w:val="20"/>
        </w:rPr>
      </w:pPr>
      <w:r>
        <w:rPr>
          <w:rFonts w:ascii="Arial" w:hAnsi="Arial" w:cs="Arial"/>
          <w:sz w:val="20"/>
          <w:szCs w:val="20"/>
        </w:rPr>
        <w:t>The credits in this report do not reflect the customer account’s share of jointly owned units. All owners will see the full credit assigned to the unit.</w:t>
      </w:r>
    </w:p>
    <w:p w:rsidR="00466416" w:rsidRDefault="00466416">
      <w:pPr>
        <w:ind w:left="432"/>
        <w:rPr>
          <w:rFonts w:ascii="Arial" w:hAnsi="Arial" w:cs="Arial"/>
          <w:sz w:val="20"/>
          <w:szCs w:val="20"/>
        </w:rPr>
      </w:pPr>
    </w:p>
    <w:p w:rsidR="00F12D02" w:rsidRDefault="00F12D02" w:rsidP="00466416">
      <w:pPr>
        <w:rPr>
          <w:rFonts w:ascii="Arial" w:hAnsi="Arial" w:cs="Arial"/>
          <w:sz w:val="20"/>
        </w:rPr>
      </w:pPr>
      <w:r>
        <w:rPr>
          <w:rFonts w:ascii="Arial" w:hAnsi="Arial" w:cs="Arial"/>
          <w:sz w:val="20"/>
        </w:rPr>
        <w:t xml:space="preserve"> </w:t>
      </w:r>
    </w:p>
    <w:p w:rsidR="00F12D02" w:rsidRDefault="00F12D02">
      <w:pPr>
        <w:pStyle w:val="Heading1"/>
      </w:pPr>
      <w:r>
        <w:lastRenderedPageBreak/>
        <w:t>Summary of Changes and Special Logic</w:t>
      </w:r>
    </w:p>
    <w:p w:rsidR="00F12D02" w:rsidRPr="005F34AA" w:rsidRDefault="00F12D02" w:rsidP="005F34AA">
      <w:pPr>
        <w:pStyle w:val="BulletList"/>
      </w:pPr>
      <w:r>
        <w:t>The date range total row will only appear in the online version of the report.  It will not appear in the CSV and XML versions of the report.</w:t>
      </w:r>
    </w:p>
    <w:p w:rsidR="00F12D02" w:rsidRDefault="00F12D02" w:rsidP="00E659B0">
      <w:pPr>
        <w:pStyle w:val="BulletList"/>
      </w:pPr>
      <w:r>
        <w:t>This report will display th</w:t>
      </w:r>
      <w:r w:rsidR="00DA2F1D">
        <w:t>e generator’s Tier 1 Adjustment</w:t>
      </w:r>
      <w:r>
        <w:t>.</w:t>
      </w:r>
    </w:p>
    <w:p w:rsidR="00F12D02" w:rsidRDefault="00F12D02" w:rsidP="00E659B0">
      <w:pPr>
        <w:pStyle w:val="BulletList"/>
      </w:pPr>
      <w:r>
        <w:t>Trade dates prior to 10/1/2012, the Tier 1 Premium Price ($) column will display the average of the 5-minute LMPs calculated during the synchronized reserve event plus $50/MWh.</w:t>
      </w:r>
    </w:p>
    <w:p w:rsidR="00F12D02" w:rsidRDefault="005B6A97" w:rsidP="00E659B0">
      <w:pPr>
        <w:pStyle w:val="BulletList"/>
      </w:pPr>
      <w:r>
        <w:t>Trade dates 10/1/2012</w:t>
      </w:r>
      <w:r w:rsidR="00C1774E">
        <w:t xml:space="preserve"> forward</w:t>
      </w:r>
      <w:r w:rsidR="00F12D02">
        <w:t xml:space="preserve">, during </w:t>
      </w:r>
      <w:r w:rsidR="00DB6EFD">
        <w:t xml:space="preserve">intervals </w:t>
      </w:r>
      <w:r w:rsidR="00F12D02">
        <w:t xml:space="preserve"> where the Non-Synchronized </w:t>
      </w:r>
      <w:r w:rsidR="00E659B0">
        <w:t xml:space="preserve">Reserve </w:t>
      </w:r>
      <w:r w:rsidR="00F12D02">
        <w:t>Market Clearing Price is non-zero for the appli</w:t>
      </w:r>
      <w:r>
        <w:t xml:space="preserve">cable reserve zone or subzone, </w:t>
      </w:r>
      <w:r w:rsidR="00F12D02">
        <w:t>the Tier 1 Premium Price ($) column will display the Synchronized Reserve Market Clearing Price.</w:t>
      </w:r>
    </w:p>
    <w:p w:rsidR="00F12D02" w:rsidRDefault="005751A9" w:rsidP="00E659B0">
      <w:pPr>
        <w:pStyle w:val="BulletList"/>
      </w:pPr>
      <w:r>
        <w:t>Trade dates 10/1/2012 to 2/1/2018</w:t>
      </w:r>
      <w:r w:rsidR="00F12D02">
        <w:t>, during hours where the Non-Synchronized</w:t>
      </w:r>
      <w:r w:rsidR="00E659B0">
        <w:t xml:space="preserve"> Reserve</w:t>
      </w:r>
      <w:r w:rsidR="00F12D02">
        <w:t xml:space="preserve"> Market Clearing Price is non-zero for the applicable reserve zone or subzone,  the RT LMP ($) column will display the zero.</w:t>
      </w:r>
    </w:p>
    <w:p w:rsidR="00F12D02" w:rsidRDefault="00F12D02">
      <w:pPr>
        <w:pStyle w:val="Heading1"/>
      </w:pPr>
      <w:r>
        <w:t>Report Columns</w:t>
      </w:r>
    </w:p>
    <w:p w:rsidR="00F12D02" w:rsidRDefault="00F12D02">
      <w:pPr>
        <w:ind w:left="432"/>
        <w:rPr>
          <w:rFonts w:ascii="Arial" w:hAnsi="Arial"/>
          <w:sz w:val="20"/>
          <w:szCs w:val="20"/>
        </w:rPr>
      </w:pPr>
      <w:r>
        <w:rPr>
          <w:rFonts w:ascii="Arial" w:hAnsi="Arial"/>
          <w:sz w:val="20"/>
          <w:szCs w:val="20"/>
        </w:rPr>
        <w:t>The following columns will appear in the body of the report:</w:t>
      </w:r>
    </w:p>
    <w:p w:rsidR="00F12D02" w:rsidRDefault="00F12D02"/>
    <w:tbl>
      <w:tblPr>
        <w:tblW w:w="123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3960"/>
        <w:gridCol w:w="1620"/>
        <w:gridCol w:w="3240"/>
      </w:tblGrid>
      <w:tr w:rsidR="00F12D02">
        <w:tc>
          <w:tcPr>
            <w:tcW w:w="3528" w:type="dxa"/>
          </w:tcPr>
          <w:p w:rsidR="00F12D02" w:rsidRDefault="00F12D02">
            <w:pPr>
              <w:rPr>
                <w:rFonts w:ascii="Arial" w:hAnsi="Arial" w:cs="Arial"/>
                <w:b/>
                <w:bCs/>
                <w:sz w:val="20"/>
                <w:szCs w:val="20"/>
              </w:rPr>
            </w:pPr>
            <w:r>
              <w:rPr>
                <w:rFonts w:ascii="Arial" w:hAnsi="Arial" w:cs="Arial"/>
                <w:b/>
                <w:bCs/>
                <w:sz w:val="20"/>
                <w:szCs w:val="20"/>
              </w:rPr>
              <w:t>Online and CSV Column Name</w:t>
            </w:r>
          </w:p>
        </w:tc>
        <w:tc>
          <w:tcPr>
            <w:tcW w:w="3960" w:type="dxa"/>
          </w:tcPr>
          <w:p w:rsidR="00F12D02" w:rsidRDefault="00F12D02">
            <w:pPr>
              <w:rPr>
                <w:rFonts w:ascii="Arial" w:hAnsi="Arial" w:cs="Arial"/>
                <w:b/>
                <w:bCs/>
                <w:sz w:val="20"/>
                <w:szCs w:val="20"/>
              </w:rPr>
            </w:pPr>
            <w:r>
              <w:rPr>
                <w:rFonts w:ascii="Arial" w:hAnsi="Arial" w:cs="Arial"/>
                <w:b/>
                <w:bCs/>
                <w:sz w:val="20"/>
                <w:szCs w:val="20"/>
              </w:rPr>
              <w:t>XML Column Name</w:t>
            </w:r>
          </w:p>
        </w:tc>
        <w:tc>
          <w:tcPr>
            <w:tcW w:w="1620" w:type="dxa"/>
          </w:tcPr>
          <w:p w:rsidR="00F12D02" w:rsidRDefault="00F12D02">
            <w:pPr>
              <w:rPr>
                <w:rFonts w:ascii="Arial" w:hAnsi="Arial" w:cs="Arial"/>
                <w:b/>
                <w:bCs/>
                <w:sz w:val="20"/>
                <w:szCs w:val="20"/>
              </w:rPr>
            </w:pPr>
            <w:r>
              <w:rPr>
                <w:rFonts w:ascii="Arial" w:hAnsi="Arial" w:cs="Arial"/>
                <w:b/>
                <w:bCs/>
                <w:sz w:val="20"/>
                <w:szCs w:val="20"/>
              </w:rPr>
              <w:t>Column Number</w:t>
            </w:r>
          </w:p>
        </w:tc>
        <w:tc>
          <w:tcPr>
            <w:tcW w:w="3240" w:type="dxa"/>
          </w:tcPr>
          <w:p w:rsidR="00F12D02" w:rsidRDefault="00F12D02">
            <w:pPr>
              <w:rPr>
                <w:rFonts w:ascii="Arial" w:hAnsi="Arial" w:cs="Arial"/>
                <w:b/>
                <w:bCs/>
                <w:sz w:val="20"/>
                <w:szCs w:val="20"/>
              </w:rPr>
            </w:pPr>
            <w:r>
              <w:rPr>
                <w:rFonts w:ascii="Arial" w:hAnsi="Arial" w:cs="Arial"/>
                <w:b/>
                <w:bCs/>
                <w:sz w:val="20"/>
                <w:szCs w:val="20"/>
              </w:rPr>
              <w:t>Data Type</w:t>
            </w:r>
          </w:p>
        </w:tc>
      </w:tr>
      <w:tr w:rsidR="00F12D02">
        <w:tc>
          <w:tcPr>
            <w:tcW w:w="3528" w:type="dxa"/>
          </w:tcPr>
          <w:p w:rsidR="00F12D02" w:rsidRDefault="00F12D02">
            <w:pPr>
              <w:rPr>
                <w:rFonts w:ascii="Arial" w:hAnsi="Arial" w:cs="Arial"/>
                <w:sz w:val="20"/>
                <w:szCs w:val="20"/>
              </w:rPr>
            </w:pPr>
            <w:r>
              <w:rPr>
                <w:rFonts w:ascii="Arial" w:hAnsi="Arial" w:cs="Arial"/>
                <w:sz w:val="20"/>
                <w:szCs w:val="20"/>
              </w:rPr>
              <w:t>Customer ID</w:t>
            </w:r>
          </w:p>
        </w:tc>
        <w:tc>
          <w:tcPr>
            <w:tcW w:w="3960" w:type="dxa"/>
          </w:tcPr>
          <w:p w:rsidR="00F12D02" w:rsidRDefault="00F12D02">
            <w:pPr>
              <w:rPr>
                <w:rFonts w:ascii="Arial" w:hAnsi="Arial" w:cs="Arial"/>
                <w:sz w:val="20"/>
                <w:szCs w:val="20"/>
              </w:rPr>
            </w:pPr>
            <w:r>
              <w:rPr>
                <w:rFonts w:ascii="Arial" w:hAnsi="Arial" w:cs="Arial"/>
                <w:sz w:val="20"/>
                <w:szCs w:val="20"/>
              </w:rPr>
              <w:t>CUSTOMER_ID</w:t>
            </w:r>
          </w:p>
        </w:tc>
        <w:tc>
          <w:tcPr>
            <w:tcW w:w="1620" w:type="dxa"/>
          </w:tcPr>
          <w:p w:rsidR="00F12D02" w:rsidRDefault="00F12D02">
            <w:pPr>
              <w:rPr>
                <w:rFonts w:ascii="Arial" w:hAnsi="Arial" w:cs="Arial"/>
                <w:sz w:val="20"/>
                <w:szCs w:val="20"/>
              </w:rPr>
            </w:pPr>
            <w:r>
              <w:rPr>
                <w:rFonts w:ascii="Arial" w:hAnsi="Arial" w:cs="Arial"/>
                <w:sz w:val="20"/>
                <w:szCs w:val="20"/>
              </w:rPr>
              <w:t>4000.01</w:t>
            </w:r>
          </w:p>
        </w:tc>
        <w:tc>
          <w:tcPr>
            <w:tcW w:w="3240" w:type="dxa"/>
          </w:tcPr>
          <w:p w:rsidR="00F12D02" w:rsidRDefault="00F12D02">
            <w:pPr>
              <w:rPr>
                <w:rFonts w:ascii="Arial" w:hAnsi="Arial" w:cs="Arial"/>
                <w:sz w:val="20"/>
                <w:szCs w:val="20"/>
              </w:rPr>
            </w:pPr>
            <w:r>
              <w:rPr>
                <w:rFonts w:ascii="Arial" w:hAnsi="Arial" w:cs="Arial"/>
                <w:sz w:val="20"/>
                <w:szCs w:val="20"/>
              </w:rPr>
              <w:t>INTEGER</w:t>
            </w:r>
          </w:p>
        </w:tc>
      </w:tr>
      <w:tr w:rsidR="00F12D02">
        <w:tc>
          <w:tcPr>
            <w:tcW w:w="3528" w:type="dxa"/>
          </w:tcPr>
          <w:p w:rsidR="00F12D02" w:rsidRDefault="00F12D02">
            <w:pPr>
              <w:rPr>
                <w:rFonts w:ascii="Arial" w:hAnsi="Arial" w:cs="Arial"/>
                <w:sz w:val="20"/>
                <w:szCs w:val="20"/>
              </w:rPr>
            </w:pPr>
            <w:r>
              <w:rPr>
                <w:rFonts w:ascii="Arial" w:hAnsi="Arial" w:cs="Arial"/>
                <w:sz w:val="20"/>
                <w:szCs w:val="20"/>
              </w:rPr>
              <w:t>Customer Code</w:t>
            </w:r>
          </w:p>
        </w:tc>
        <w:tc>
          <w:tcPr>
            <w:tcW w:w="3960" w:type="dxa"/>
          </w:tcPr>
          <w:p w:rsidR="00F12D02" w:rsidRDefault="00F12D02">
            <w:pPr>
              <w:rPr>
                <w:rFonts w:ascii="Arial" w:hAnsi="Arial" w:cs="Arial"/>
                <w:sz w:val="20"/>
                <w:szCs w:val="20"/>
              </w:rPr>
            </w:pPr>
            <w:r>
              <w:rPr>
                <w:rFonts w:ascii="Arial" w:hAnsi="Arial" w:cs="Arial"/>
                <w:sz w:val="20"/>
                <w:szCs w:val="20"/>
              </w:rPr>
              <w:t>CUSTOMER_CODE</w:t>
            </w:r>
          </w:p>
        </w:tc>
        <w:tc>
          <w:tcPr>
            <w:tcW w:w="1620" w:type="dxa"/>
          </w:tcPr>
          <w:p w:rsidR="00F12D02" w:rsidRDefault="00F12D02">
            <w:pPr>
              <w:rPr>
                <w:rFonts w:ascii="Arial" w:hAnsi="Arial" w:cs="Arial"/>
                <w:sz w:val="20"/>
                <w:szCs w:val="20"/>
              </w:rPr>
            </w:pPr>
            <w:r>
              <w:rPr>
                <w:rFonts w:ascii="Arial" w:hAnsi="Arial" w:cs="Arial"/>
                <w:sz w:val="20"/>
                <w:szCs w:val="20"/>
              </w:rPr>
              <w:t>4000.02</w:t>
            </w:r>
          </w:p>
        </w:tc>
        <w:tc>
          <w:tcPr>
            <w:tcW w:w="3240" w:type="dxa"/>
          </w:tcPr>
          <w:p w:rsidR="00F12D02" w:rsidRDefault="00F12D02">
            <w:pPr>
              <w:rPr>
                <w:rFonts w:ascii="Arial" w:hAnsi="Arial" w:cs="Arial"/>
                <w:sz w:val="20"/>
                <w:szCs w:val="20"/>
              </w:rPr>
            </w:pPr>
            <w:r>
              <w:rPr>
                <w:rFonts w:ascii="Arial" w:hAnsi="Arial" w:cs="Arial"/>
                <w:sz w:val="20"/>
                <w:szCs w:val="20"/>
              </w:rPr>
              <w:t>VARCHAR2(6)</w:t>
            </w:r>
          </w:p>
        </w:tc>
      </w:tr>
      <w:tr w:rsidR="00F12D02">
        <w:tc>
          <w:tcPr>
            <w:tcW w:w="3528" w:type="dxa"/>
          </w:tcPr>
          <w:p w:rsidR="00F12D02" w:rsidRDefault="00F12D02" w:rsidP="005F34AA">
            <w:pPr>
              <w:rPr>
                <w:rFonts w:ascii="Arial" w:hAnsi="Arial" w:cs="Arial"/>
                <w:sz w:val="20"/>
                <w:szCs w:val="20"/>
              </w:rPr>
            </w:pPr>
            <w:r>
              <w:rPr>
                <w:rFonts w:ascii="Arial" w:hAnsi="Arial" w:cs="Arial"/>
                <w:sz w:val="20"/>
                <w:szCs w:val="20"/>
              </w:rPr>
              <w:t xml:space="preserve">EPT </w:t>
            </w:r>
            <w:r w:rsidR="005F34AA">
              <w:rPr>
                <w:rFonts w:ascii="Arial" w:hAnsi="Arial" w:cs="Arial"/>
                <w:sz w:val="20"/>
                <w:szCs w:val="20"/>
              </w:rPr>
              <w:t>Interval</w:t>
            </w:r>
            <w:r>
              <w:rPr>
                <w:rFonts w:ascii="Arial" w:hAnsi="Arial" w:cs="Arial"/>
                <w:sz w:val="20"/>
                <w:szCs w:val="20"/>
              </w:rPr>
              <w:t xml:space="preserve"> Ending</w:t>
            </w:r>
          </w:p>
        </w:tc>
        <w:tc>
          <w:tcPr>
            <w:tcW w:w="3960" w:type="dxa"/>
          </w:tcPr>
          <w:p w:rsidR="00F12D02" w:rsidRDefault="00F12D02" w:rsidP="005F34AA">
            <w:pPr>
              <w:rPr>
                <w:rFonts w:ascii="Arial" w:hAnsi="Arial" w:cs="Arial"/>
                <w:sz w:val="20"/>
                <w:szCs w:val="20"/>
              </w:rPr>
            </w:pPr>
            <w:r>
              <w:rPr>
                <w:rFonts w:ascii="Arial" w:hAnsi="Arial" w:cs="Arial"/>
                <w:sz w:val="20"/>
                <w:szCs w:val="20"/>
              </w:rPr>
              <w:t>EPT_</w:t>
            </w:r>
            <w:r w:rsidR="005F34AA">
              <w:rPr>
                <w:rFonts w:ascii="Arial" w:hAnsi="Arial" w:cs="Arial"/>
                <w:sz w:val="20"/>
                <w:szCs w:val="20"/>
              </w:rPr>
              <w:t>INTERVAL</w:t>
            </w:r>
            <w:r>
              <w:rPr>
                <w:rFonts w:ascii="Arial" w:hAnsi="Arial" w:cs="Arial"/>
                <w:sz w:val="20"/>
                <w:szCs w:val="20"/>
              </w:rPr>
              <w:t>_ENDING</w:t>
            </w:r>
          </w:p>
        </w:tc>
        <w:tc>
          <w:tcPr>
            <w:tcW w:w="1620" w:type="dxa"/>
          </w:tcPr>
          <w:p w:rsidR="00F12D02" w:rsidRDefault="00F12D02">
            <w:pPr>
              <w:rPr>
                <w:rFonts w:ascii="Arial" w:hAnsi="Arial" w:cs="Arial"/>
                <w:sz w:val="20"/>
                <w:szCs w:val="20"/>
              </w:rPr>
            </w:pPr>
            <w:r>
              <w:rPr>
                <w:rFonts w:ascii="Arial" w:hAnsi="Arial" w:cs="Arial"/>
                <w:sz w:val="20"/>
                <w:szCs w:val="20"/>
              </w:rPr>
              <w:t>4000.</w:t>
            </w:r>
            <w:r w:rsidR="00564025">
              <w:rPr>
                <w:rFonts w:ascii="Arial" w:hAnsi="Arial" w:cs="Arial"/>
                <w:sz w:val="20"/>
                <w:szCs w:val="20"/>
              </w:rPr>
              <w:t>40</w:t>
            </w:r>
          </w:p>
        </w:tc>
        <w:tc>
          <w:tcPr>
            <w:tcW w:w="3240" w:type="dxa"/>
          </w:tcPr>
          <w:p w:rsidR="005F34AA" w:rsidRPr="00674475" w:rsidRDefault="005F34AA" w:rsidP="005F34AA">
            <w:pPr>
              <w:rPr>
                <w:rFonts w:ascii="Arial" w:hAnsi="Arial" w:cs="Arial"/>
                <w:sz w:val="20"/>
                <w:szCs w:val="20"/>
              </w:rPr>
            </w:pPr>
            <w:r w:rsidRPr="00674475">
              <w:rPr>
                <w:rFonts w:ascii="Arial" w:hAnsi="Arial" w:cs="Arial"/>
                <w:sz w:val="20"/>
                <w:szCs w:val="20"/>
              </w:rPr>
              <w:t>VARCHAR2(40)</w:t>
            </w:r>
          </w:p>
          <w:p w:rsidR="005F34AA" w:rsidRDefault="005F34AA" w:rsidP="005F34AA">
            <w:pPr>
              <w:rPr>
                <w:rFonts w:ascii="Arial" w:hAnsi="Arial" w:cs="Arial"/>
                <w:sz w:val="20"/>
                <w:szCs w:val="20"/>
              </w:rPr>
            </w:pPr>
            <w:r>
              <w:rPr>
                <w:rFonts w:ascii="Arial" w:hAnsi="Arial" w:cs="Arial"/>
                <w:sz w:val="20"/>
                <w:szCs w:val="20"/>
              </w:rPr>
              <w:t>mm/dd/yyyy HH24:MM format</w:t>
            </w:r>
          </w:p>
          <w:p w:rsidR="00F12D02" w:rsidRDefault="005F34AA" w:rsidP="005F34AA">
            <w:pPr>
              <w:rPr>
                <w:rFonts w:ascii="Arial" w:hAnsi="Arial" w:cs="Arial"/>
                <w:sz w:val="20"/>
                <w:szCs w:val="20"/>
              </w:rPr>
            </w:pPr>
            <w:r>
              <w:rPr>
                <w:rFonts w:ascii="Arial" w:hAnsi="Arial" w:cs="Arial"/>
                <w:sz w:val="20"/>
                <w:szCs w:val="20"/>
              </w:rPr>
              <w:t>(Displays first interval of the day as hour 0 minute 05 and last interval of the day as hour 24 minute 00)</w:t>
            </w:r>
          </w:p>
        </w:tc>
      </w:tr>
      <w:tr w:rsidR="00F12D02">
        <w:tc>
          <w:tcPr>
            <w:tcW w:w="3528" w:type="dxa"/>
          </w:tcPr>
          <w:p w:rsidR="00F12D02" w:rsidRDefault="00F12D02" w:rsidP="005F34AA">
            <w:pPr>
              <w:rPr>
                <w:rFonts w:ascii="Arial" w:hAnsi="Arial" w:cs="Arial"/>
                <w:sz w:val="20"/>
                <w:szCs w:val="20"/>
              </w:rPr>
            </w:pPr>
            <w:r>
              <w:rPr>
                <w:rFonts w:ascii="Arial" w:hAnsi="Arial" w:cs="Arial"/>
                <w:sz w:val="20"/>
                <w:szCs w:val="20"/>
              </w:rPr>
              <w:t xml:space="preserve">GMT </w:t>
            </w:r>
            <w:r w:rsidR="005F34AA">
              <w:rPr>
                <w:rFonts w:ascii="Arial" w:hAnsi="Arial" w:cs="Arial"/>
                <w:sz w:val="20"/>
                <w:szCs w:val="20"/>
              </w:rPr>
              <w:t>interval</w:t>
            </w:r>
            <w:r>
              <w:rPr>
                <w:rFonts w:ascii="Arial" w:hAnsi="Arial" w:cs="Arial"/>
                <w:sz w:val="20"/>
                <w:szCs w:val="20"/>
              </w:rPr>
              <w:t xml:space="preserve"> Ending</w:t>
            </w:r>
          </w:p>
        </w:tc>
        <w:tc>
          <w:tcPr>
            <w:tcW w:w="3960" w:type="dxa"/>
          </w:tcPr>
          <w:p w:rsidR="00F12D02" w:rsidRDefault="00F12D02" w:rsidP="005F34AA">
            <w:pPr>
              <w:rPr>
                <w:rFonts w:ascii="Arial" w:hAnsi="Arial" w:cs="Arial"/>
                <w:sz w:val="20"/>
                <w:szCs w:val="20"/>
              </w:rPr>
            </w:pPr>
            <w:r>
              <w:rPr>
                <w:rFonts w:ascii="Arial" w:hAnsi="Arial" w:cs="Arial"/>
                <w:sz w:val="20"/>
                <w:szCs w:val="20"/>
              </w:rPr>
              <w:t>GMT_</w:t>
            </w:r>
            <w:r w:rsidR="005F34AA">
              <w:rPr>
                <w:rFonts w:ascii="Arial" w:hAnsi="Arial" w:cs="Arial"/>
                <w:sz w:val="20"/>
                <w:szCs w:val="20"/>
              </w:rPr>
              <w:t>INTERVAL</w:t>
            </w:r>
            <w:r>
              <w:rPr>
                <w:rFonts w:ascii="Arial" w:hAnsi="Arial" w:cs="Arial"/>
                <w:sz w:val="20"/>
                <w:szCs w:val="20"/>
              </w:rPr>
              <w:t>_ENDING</w:t>
            </w:r>
          </w:p>
        </w:tc>
        <w:tc>
          <w:tcPr>
            <w:tcW w:w="1620" w:type="dxa"/>
          </w:tcPr>
          <w:p w:rsidR="00F12D02" w:rsidRDefault="00F12D02">
            <w:pPr>
              <w:rPr>
                <w:rFonts w:ascii="Arial" w:hAnsi="Arial" w:cs="Arial"/>
                <w:sz w:val="20"/>
                <w:szCs w:val="20"/>
              </w:rPr>
            </w:pPr>
            <w:r>
              <w:rPr>
                <w:rFonts w:ascii="Arial" w:hAnsi="Arial" w:cs="Arial"/>
                <w:sz w:val="20"/>
                <w:szCs w:val="20"/>
              </w:rPr>
              <w:t>4000.</w:t>
            </w:r>
            <w:r w:rsidR="00564025">
              <w:rPr>
                <w:rFonts w:ascii="Arial" w:hAnsi="Arial" w:cs="Arial"/>
                <w:sz w:val="20"/>
                <w:szCs w:val="20"/>
              </w:rPr>
              <w:t>41</w:t>
            </w:r>
          </w:p>
        </w:tc>
        <w:tc>
          <w:tcPr>
            <w:tcW w:w="3240" w:type="dxa"/>
          </w:tcPr>
          <w:p w:rsidR="005F34AA" w:rsidRPr="00674475" w:rsidRDefault="005F34AA" w:rsidP="005F34AA">
            <w:pPr>
              <w:rPr>
                <w:rFonts w:ascii="Arial" w:hAnsi="Arial" w:cs="Arial"/>
                <w:sz w:val="20"/>
                <w:szCs w:val="20"/>
              </w:rPr>
            </w:pPr>
            <w:r w:rsidRPr="00674475">
              <w:rPr>
                <w:rFonts w:ascii="Arial" w:hAnsi="Arial" w:cs="Arial"/>
                <w:sz w:val="20"/>
                <w:szCs w:val="20"/>
              </w:rPr>
              <w:t>VARCHAR2(40)</w:t>
            </w:r>
          </w:p>
          <w:p w:rsidR="005F34AA" w:rsidRDefault="005F34AA" w:rsidP="005F34AA">
            <w:pPr>
              <w:rPr>
                <w:rFonts w:ascii="Arial" w:hAnsi="Arial" w:cs="Arial"/>
                <w:sz w:val="20"/>
                <w:szCs w:val="20"/>
              </w:rPr>
            </w:pPr>
            <w:r>
              <w:rPr>
                <w:rFonts w:ascii="Arial" w:hAnsi="Arial" w:cs="Arial"/>
                <w:sz w:val="20"/>
                <w:szCs w:val="20"/>
              </w:rPr>
              <w:t>mm/dd/yyyy HH24:MM format</w:t>
            </w:r>
          </w:p>
          <w:p w:rsidR="00F12D02" w:rsidRDefault="005F34AA" w:rsidP="005F34AA">
            <w:pPr>
              <w:rPr>
                <w:rFonts w:ascii="Arial" w:hAnsi="Arial" w:cs="Arial"/>
                <w:sz w:val="20"/>
                <w:szCs w:val="20"/>
              </w:rPr>
            </w:pPr>
            <w:r>
              <w:rPr>
                <w:rFonts w:ascii="Arial" w:hAnsi="Arial" w:cs="Arial"/>
                <w:sz w:val="20"/>
                <w:szCs w:val="20"/>
              </w:rPr>
              <w:t>(Displays first interval of the day in relation to EPT interval as hour 04 minute 05 or hour 05 minute 05 (EDT/EST depending) and last interval of the day as hour 04 minute 00 of the next day or hour 05 minute 00 of the next day (EDT/EST depending))</w:t>
            </w:r>
          </w:p>
        </w:tc>
      </w:tr>
      <w:tr w:rsidR="00F12D02">
        <w:tc>
          <w:tcPr>
            <w:tcW w:w="3528" w:type="dxa"/>
          </w:tcPr>
          <w:p w:rsidR="00F12D02" w:rsidRDefault="00F12D02">
            <w:pPr>
              <w:rPr>
                <w:rFonts w:ascii="Arial" w:hAnsi="Arial" w:cs="Arial"/>
                <w:sz w:val="20"/>
                <w:szCs w:val="20"/>
              </w:rPr>
            </w:pPr>
            <w:r>
              <w:rPr>
                <w:rFonts w:ascii="Arial" w:hAnsi="Arial" w:cs="Arial"/>
                <w:sz w:val="20"/>
                <w:szCs w:val="20"/>
              </w:rPr>
              <w:lastRenderedPageBreak/>
              <w:t>Unit ID</w:t>
            </w:r>
          </w:p>
        </w:tc>
        <w:tc>
          <w:tcPr>
            <w:tcW w:w="3960" w:type="dxa"/>
          </w:tcPr>
          <w:p w:rsidR="00F12D02" w:rsidRDefault="00F12D02">
            <w:pPr>
              <w:rPr>
                <w:rFonts w:ascii="Arial" w:hAnsi="Arial" w:cs="Arial"/>
                <w:sz w:val="20"/>
                <w:szCs w:val="20"/>
              </w:rPr>
            </w:pPr>
            <w:r>
              <w:rPr>
                <w:rFonts w:ascii="Arial" w:hAnsi="Arial" w:cs="Arial"/>
                <w:sz w:val="20"/>
                <w:szCs w:val="20"/>
              </w:rPr>
              <w:t>UNIT_ID</w:t>
            </w:r>
          </w:p>
        </w:tc>
        <w:tc>
          <w:tcPr>
            <w:tcW w:w="1620" w:type="dxa"/>
          </w:tcPr>
          <w:p w:rsidR="00F12D02" w:rsidRDefault="00F12D02">
            <w:pPr>
              <w:rPr>
                <w:rFonts w:ascii="Arial" w:hAnsi="Arial" w:cs="Arial"/>
                <w:sz w:val="20"/>
                <w:szCs w:val="20"/>
              </w:rPr>
            </w:pPr>
            <w:r>
              <w:rPr>
                <w:rFonts w:ascii="Arial" w:hAnsi="Arial" w:cs="Arial"/>
                <w:sz w:val="20"/>
                <w:szCs w:val="20"/>
              </w:rPr>
              <w:t>4000.63</w:t>
            </w:r>
          </w:p>
        </w:tc>
        <w:tc>
          <w:tcPr>
            <w:tcW w:w="3240" w:type="dxa"/>
          </w:tcPr>
          <w:p w:rsidR="00F12D02" w:rsidRDefault="00F12D02">
            <w:pPr>
              <w:rPr>
                <w:rFonts w:ascii="Arial" w:hAnsi="Arial" w:cs="Arial"/>
                <w:color w:val="FF0000"/>
                <w:sz w:val="20"/>
                <w:szCs w:val="20"/>
              </w:rPr>
            </w:pPr>
            <w:r>
              <w:rPr>
                <w:rFonts w:ascii="Arial" w:hAnsi="Arial" w:cs="Arial"/>
                <w:sz w:val="20"/>
                <w:szCs w:val="20"/>
              </w:rPr>
              <w:t>NUMBER(8,0)</w:t>
            </w:r>
          </w:p>
        </w:tc>
      </w:tr>
      <w:tr w:rsidR="00F12D02">
        <w:tc>
          <w:tcPr>
            <w:tcW w:w="3528" w:type="dxa"/>
          </w:tcPr>
          <w:p w:rsidR="00F12D02" w:rsidRDefault="00F12D02">
            <w:pPr>
              <w:rPr>
                <w:rFonts w:ascii="Arial" w:hAnsi="Arial" w:cs="Arial"/>
                <w:sz w:val="20"/>
                <w:szCs w:val="20"/>
              </w:rPr>
            </w:pPr>
            <w:r>
              <w:rPr>
                <w:rFonts w:ascii="Arial" w:hAnsi="Arial" w:cs="Arial"/>
                <w:sz w:val="20"/>
                <w:szCs w:val="20"/>
              </w:rPr>
              <w:t>Unit Name</w:t>
            </w:r>
          </w:p>
        </w:tc>
        <w:tc>
          <w:tcPr>
            <w:tcW w:w="3960" w:type="dxa"/>
          </w:tcPr>
          <w:p w:rsidR="00F12D02" w:rsidRDefault="00F12D02">
            <w:pPr>
              <w:rPr>
                <w:rFonts w:ascii="Arial" w:hAnsi="Arial" w:cs="Arial"/>
                <w:sz w:val="20"/>
                <w:szCs w:val="20"/>
              </w:rPr>
            </w:pPr>
            <w:r>
              <w:rPr>
                <w:rFonts w:ascii="Arial" w:hAnsi="Arial" w:cs="Arial"/>
                <w:sz w:val="20"/>
                <w:szCs w:val="20"/>
              </w:rPr>
              <w:t>UNIT_NAME</w:t>
            </w:r>
          </w:p>
        </w:tc>
        <w:tc>
          <w:tcPr>
            <w:tcW w:w="1620" w:type="dxa"/>
          </w:tcPr>
          <w:p w:rsidR="00F12D02" w:rsidRDefault="00F12D02">
            <w:pPr>
              <w:rPr>
                <w:rFonts w:ascii="Arial" w:hAnsi="Arial" w:cs="Arial"/>
                <w:sz w:val="20"/>
                <w:szCs w:val="20"/>
              </w:rPr>
            </w:pPr>
            <w:r>
              <w:rPr>
                <w:rFonts w:ascii="Arial" w:hAnsi="Arial" w:cs="Arial"/>
                <w:sz w:val="20"/>
                <w:szCs w:val="20"/>
              </w:rPr>
              <w:t>4000.64</w:t>
            </w:r>
          </w:p>
        </w:tc>
        <w:tc>
          <w:tcPr>
            <w:tcW w:w="3240" w:type="dxa"/>
          </w:tcPr>
          <w:p w:rsidR="00F12D02" w:rsidRDefault="00F12D02">
            <w:pPr>
              <w:rPr>
                <w:rFonts w:ascii="Arial" w:hAnsi="Arial" w:cs="Arial"/>
                <w:sz w:val="20"/>
                <w:szCs w:val="20"/>
              </w:rPr>
            </w:pPr>
            <w:r>
              <w:rPr>
                <w:rFonts w:ascii="Arial" w:hAnsi="Arial" w:cs="Arial"/>
                <w:sz w:val="20"/>
                <w:szCs w:val="20"/>
              </w:rPr>
              <w:t>VARCHAR2(60)</w:t>
            </w:r>
          </w:p>
        </w:tc>
      </w:tr>
      <w:tr w:rsidR="00F12D02">
        <w:tc>
          <w:tcPr>
            <w:tcW w:w="3528" w:type="dxa"/>
          </w:tcPr>
          <w:p w:rsidR="00F12D02" w:rsidRDefault="00F12D02">
            <w:pPr>
              <w:rPr>
                <w:rFonts w:ascii="Arial" w:hAnsi="Arial" w:cs="Arial"/>
                <w:sz w:val="20"/>
                <w:szCs w:val="20"/>
              </w:rPr>
            </w:pPr>
            <w:r>
              <w:rPr>
                <w:rFonts w:ascii="Arial" w:hAnsi="Arial" w:cs="Arial"/>
                <w:sz w:val="20"/>
                <w:szCs w:val="20"/>
              </w:rPr>
              <w:t>Unit Ownership Share</w:t>
            </w:r>
          </w:p>
        </w:tc>
        <w:tc>
          <w:tcPr>
            <w:tcW w:w="3960" w:type="dxa"/>
          </w:tcPr>
          <w:p w:rsidR="00F12D02" w:rsidRDefault="00F12D02">
            <w:pPr>
              <w:rPr>
                <w:rFonts w:ascii="Arial" w:hAnsi="Arial" w:cs="Arial"/>
                <w:sz w:val="20"/>
                <w:szCs w:val="20"/>
              </w:rPr>
            </w:pPr>
            <w:r>
              <w:rPr>
                <w:rFonts w:ascii="Arial" w:hAnsi="Arial" w:cs="Arial"/>
                <w:sz w:val="20"/>
                <w:szCs w:val="20"/>
              </w:rPr>
              <w:t>UNIT_OWNERSHIP_SHARE</w:t>
            </w:r>
          </w:p>
        </w:tc>
        <w:tc>
          <w:tcPr>
            <w:tcW w:w="1620" w:type="dxa"/>
          </w:tcPr>
          <w:p w:rsidR="00F12D02" w:rsidRDefault="00F12D02">
            <w:pPr>
              <w:rPr>
                <w:rFonts w:ascii="Arial" w:hAnsi="Arial" w:cs="Arial"/>
                <w:sz w:val="20"/>
                <w:szCs w:val="20"/>
              </w:rPr>
            </w:pPr>
            <w:r>
              <w:rPr>
                <w:rFonts w:ascii="Arial" w:hAnsi="Arial" w:cs="Arial"/>
                <w:sz w:val="20"/>
                <w:szCs w:val="20"/>
              </w:rPr>
              <w:t>3000.80</w:t>
            </w:r>
          </w:p>
        </w:tc>
        <w:tc>
          <w:tcPr>
            <w:tcW w:w="3240" w:type="dxa"/>
          </w:tcPr>
          <w:p w:rsidR="00F12D02" w:rsidRDefault="00F12D02">
            <w:pPr>
              <w:rPr>
                <w:rFonts w:ascii="Arial" w:hAnsi="Arial" w:cs="Arial"/>
                <w:sz w:val="20"/>
                <w:szCs w:val="20"/>
              </w:rPr>
            </w:pPr>
            <w:r>
              <w:rPr>
                <w:rFonts w:ascii="Arial" w:hAnsi="Arial" w:cs="Arial"/>
                <w:sz w:val="20"/>
                <w:szCs w:val="20"/>
              </w:rPr>
              <w:t>NUMBER</w:t>
            </w:r>
          </w:p>
        </w:tc>
      </w:tr>
      <w:tr w:rsidR="00F12D02">
        <w:tc>
          <w:tcPr>
            <w:tcW w:w="3528" w:type="dxa"/>
          </w:tcPr>
          <w:p w:rsidR="00F12D02" w:rsidRDefault="00F12D02">
            <w:pPr>
              <w:rPr>
                <w:rFonts w:ascii="Arial" w:hAnsi="Arial" w:cs="Arial"/>
                <w:sz w:val="20"/>
                <w:szCs w:val="20"/>
              </w:rPr>
            </w:pPr>
            <w:r>
              <w:rPr>
                <w:rFonts w:ascii="Arial" w:hAnsi="Arial" w:cs="Arial"/>
                <w:sz w:val="20"/>
                <w:szCs w:val="20"/>
              </w:rPr>
              <w:t>Synch Reserve Event Start Time (EPT)</w:t>
            </w:r>
          </w:p>
        </w:tc>
        <w:tc>
          <w:tcPr>
            <w:tcW w:w="3960" w:type="dxa"/>
          </w:tcPr>
          <w:p w:rsidR="00F12D02" w:rsidRDefault="00F12D02">
            <w:pPr>
              <w:rPr>
                <w:rFonts w:ascii="Arial" w:hAnsi="Arial" w:cs="Arial"/>
                <w:sz w:val="20"/>
                <w:szCs w:val="20"/>
              </w:rPr>
            </w:pPr>
            <w:r>
              <w:rPr>
                <w:rFonts w:ascii="Arial" w:hAnsi="Arial" w:cs="Arial"/>
                <w:sz w:val="20"/>
                <w:szCs w:val="20"/>
              </w:rPr>
              <w:t>SYNCH_RES_EVENT_START_TIME</w:t>
            </w:r>
          </w:p>
        </w:tc>
        <w:tc>
          <w:tcPr>
            <w:tcW w:w="1620" w:type="dxa"/>
          </w:tcPr>
          <w:p w:rsidR="00F12D02" w:rsidRDefault="00F12D02">
            <w:pPr>
              <w:rPr>
                <w:rFonts w:ascii="Arial" w:hAnsi="Arial" w:cs="Arial"/>
                <w:sz w:val="20"/>
                <w:szCs w:val="20"/>
              </w:rPr>
            </w:pPr>
            <w:r>
              <w:rPr>
                <w:rFonts w:ascii="Arial" w:hAnsi="Arial" w:cs="Arial"/>
                <w:sz w:val="20"/>
                <w:szCs w:val="20"/>
              </w:rPr>
              <w:t>4000.36</w:t>
            </w:r>
          </w:p>
        </w:tc>
        <w:tc>
          <w:tcPr>
            <w:tcW w:w="3240" w:type="dxa"/>
          </w:tcPr>
          <w:p w:rsidR="00F12D02" w:rsidRDefault="00F12D02">
            <w:pPr>
              <w:rPr>
                <w:rFonts w:ascii="Arial" w:hAnsi="Arial" w:cs="Arial"/>
                <w:sz w:val="20"/>
                <w:szCs w:val="20"/>
              </w:rPr>
            </w:pPr>
            <w:r>
              <w:rPr>
                <w:rFonts w:ascii="Arial" w:hAnsi="Arial" w:cs="Arial"/>
                <w:sz w:val="20"/>
                <w:szCs w:val="20"/>
              </w:rPr>
              <w:t xml:space="preserve">DATE </w:t>
            </w:r>
            <w:r>
              <w:rPr>
                <w:rFonts w:ascii="Arial" w:hAnsi="Arial" w:cs="Arial"/>
                <w:sz w:val="20"/>
                <w:szCs w:val="20"/>
              </w:rPr>
              <w:br/>
              <w:t>mm/dd/yyyy hh:mm:ss in online and CSV formats,</w:t>
            </w:r>
          </w:p>
          <w:p w:rsidR="00F12D02" w:rsidRDefault="00F12D02">
            <w:pPr>
              <w:rPr>
                <w:rFonts w:ascii="Arial" w:hAnsi="Arial" w:cs="Arial"/>
                <w:sz w:val="20"/>
                <w:szCs w:val="20"/>
              </w:rPr>
            </w:pPr>
            <w:r>
              <w:rPr>
                <w:rFonts w:ascii="Arial" w:hAnsi="Arial" w:cs="Arial"/>
                <w:color w:val="000000"/>
                <w:sz w:val="20"/>
                <w:szCs w:val="20"/>
              </w:rPr>
              <w:t>yyyy-mm-ddThh:mm:ss in XML format</w:t>
            </w:r>
          </w:p>
        </w:tc>
      </w:tr>
      <w:tr w:rsidR="00F12D02">
        <w:tc>
          <w:tcPr>
            <w:tcW w:w="3528" w:type="dxa"/>
          </w:tcPr>
          <w:p w:rsidR="00F12D02" w:rsidRDefault="00F12D02">
            <w:pPr>
              <w:rPr>
                <w:rFonts w:ascii="Arial" w:hAnsi="Arial" w:cs="Arial"/>
                <w:sz w:val="20"/>
                <w:szCs w:val="20"/>
              </w:rPr>
            </w:pPr>
            <w:r>
              <w:rPr>
                <w:rFonts w:ascii="Arial" w:hAnsi="Arial" w:cs="Arial"/>
                <w:sz w:val="20"/>
                <w:szCs w:val="20"/>
              </w:rPr>
              <w:t>Synch Reserve Event End Time (EPT)</w:t>
            </w:r>
          </w:p>
        </w:tc>
        <w:tc>
          <w:tcPr>
            <w:tcW w:w="3960" w:type="dxa"/>
          </w:tcPr>
          <w:p w:rsidR="00F12D02" w:rsidRDefault="00F12D02">
            <w:pPr>
              <w:rPr>
                <w:rFonts w:ascii="Arial" w:hAnsi="Arial" w:cs="Arial"/>
                <w:sz w:val="20"/>
                <w:szCs w:val="20"/>
              </w:rPr>
            </w:pPr>
            <w:r>
              <w:rPr>
                <w:rFonts w:ascii="Arial" w:hAnsi="Arial" w:cs="Arial"/>
                <w:sz w:val="20"/>
                <w:szCs w:val="20"/>
              </w:rPr>
              <w:t>SYNCH_RES_EVENT_END_TIME</w:t>
            </w:r>
          </w:p>
        </w:tc>
        <w:tc>
          <w:tcPr>
            <w:tcW w:w="1620" w:type="dxa"/>
          </w:tcPr>
          <w:p w:rsidR="00F12D02" w:rsidRDefault="00F12D02">
            <w:pPr>
              <w:rPr>
                <w:rFonts w:ascii="Arial" w:hAnsi="Arial" w:cs="Arial"/>
                <w:sz w:val="20"/>
                <w:szCs w:val="20"/>
              </w:rPr>
            </w:pPr>
            <w:r>
              <w:rPr>
                <w:rFonts w:ascii="Arial" w:hAnsi="Arial" w:cs="Arial"/>
                <w:sz w:val="20"/>
                <w:szCs w:val="20"/>
              </w:rPr>
              <w:t>4000.37</w:t>
            </w:r>
          </w:p>
        </w:tc>
        <w:tc>
          <w:tcPr>
            <w:tcW w:w="3240" w:type="dxa"/>
          </w:tcPr>
          <w:p w:rsidR="00F12D02" w:rsidRDefault="00F12D02">
            <w:pPr>
              <w:rPr>
                <w:rFonts w:ascii="Arial" w:hAnsi="Arial" w:cs="Arial"/>
                <w:sz w:val="20"/>
                <w:szCs w:val="20"/>
              </w:rPr>
            </w:pPr>
            <w:r>
              <w:rPr>
                <w:rFonts w:ascii="Arial" w:hAnsi="Arial" w:cs="Arial"/>
                <w:sz w:val="20"/>
                <w:szCs w:val="20"/>
              </w:rPr>
              <w:t xml:space="preserve">DATE </w:t>
            </w:r>
            <w:r>
              <w:rPr>
                <w:rFonts w:ascii="Arial" w:hAnsi="Arial" w:cs="Arial"/>
                <w:sz w:val="20"/>
                <w:szCs w:val="20"/>
              </w:rPr>
              <w:br/>
              <w:t>mm/dd/yyyy hh:mm:ss in online and CSV formats,</w:t>
            </w:r>
          </w:p>
          <w:p w:rsidR="00F12D02" w:rsidRDefault="00F12D02">
            <w:pPr>
              <w:rPr>
                <w:rFonts w:ascii="Arial" w:hAnsi="Arial" w:cs="Arial"/>
                <w:sz w:val="20"/>
                <w:szCs w:val="20"/>
              </w:rPr>
            </w:pPr>
            <w:r>
              <w:rPr>
                <w:rFonts w:ascii="Arial" w:hAnsi="Arial" w:cs="Arial"/>
                <w:color w:val="000000"/>
                <w:sz w:val="20"/>
                <w:szCs w:val="20"/>
              </w:rPr>
              <w:t>yyyy-mm-ddThh:mm:ss in XML format</w:t>
            </w:r>
          </w:p>
        </w:tc>
      </w:tr>
      <w:tr w:rsidR="00F12D02">
        <w:tc>
          <w:tcPr>
            <w:tcW w:w="3528" w:type="dxa"/>
          </w:tcPr>
          <w:p w:rsidR="00F12D02" w:rsidRDefault="00F12D02">
            <w:pPr>
              <w:rPr>
                <w:rFonts w:ascii="Arial" w:hAnsi="Arial" w:cs="Arial"/>
                <w:sz w:val="20"/>
                <w:szCs w:val="20"/>
              </w:rPr>
            </w:pPr>
            <w:r>
              <w:rPr>
                <w:rFonts w:ascii="Arial" w:hAnsi="Arial" w:cs="Arial"/>
                <w:sz w:val="20"/>
                <w:szCs w:val="20"/>
              </w:rPr>
              <w:t>Tier 1 Synch Reserve Response</w:t>
            </w:r>
            <w:r w:rsidR="009C0C34">
              <w:rPr>
                <w:rFonts w:ascii="Arial" w:hAnsi="Arial" w:cs="Arial"/>
                <w:sz w:val="20"/>
                <w:szCs w:val="20"/>
              </w:rPr>
              <w:t xml:space="preserve"> MW</w:t>
            </w:r>
          </w:p>
        </w:tc>
        <w:tc>
          <w:tcPr>
            <w:tcW w:w="3960" w:type="dxa"/>
          </w:tcPr>
          <w:p w:rsidR="00F12D02" w:rsidRDefault="00F12D02">
            <w:pPr>
              <w:rPr>
                <w:rFonts w:ascii="Arial" w:hAnsi="Arial" w:cs="Arial"/>
                <w:sz w:val="20"/>
                <w:szCs w:val="20"/>
              </w:rPr>
            </w:pPr>
            <w:r>
              <w:rPr>
                <w:rFonts w:ascii="Arial" w:hAnsi="Arial" w:cs="Arial"/>
                <w:sz w:val="20"/>
                <w:szCs w:val="20"/>
              </w:rPr>
              <w:t>TIER1_SYNCH_RES_RESPONSE</w:t>
            </w:r>
            <w:r w:rsidR="009C0C34">
              <w:rPr>
                <w:rFonts w:ascii="Arial" w:hAnsi="Arial" w:cs="Arial"/>
                <w:sz w:val="20"/>
                <w:szCs w:val="20"/>
              </w:rPr>
              <w:t>_MW</w:t>
            </w:r>
          </w:p>
        </w:tc>
        <w:tc>
          <w:tcPr>
            <w:tcW w:w="1620" w:type="dxa"/>
          </w:tcPr>
          <w:p w:rsidR="00F12D02" w:rsidRDefault="00F12D02">
            <w:pPr>
              <w:rPr>
                <w:rFonts w:ascii="Arial" w:hAnsi="Arial" w:cs="Arial"/>
                <w:sz w:val="20"/>
                <w:szCs w:val="20"/>
              </w:rPr>
            </w:pPr>
            <w:r>
              <w:rPr>
                <w:rFonts w:ascii="Arial" w:hAnsi="Arial" w:cs="Arial"/>
                <w:sz w:val="20"/>
                <w:szCs w:val="20"/>
              </w:rPr>
              <w:t>2360.20</w:t>
            </w:r>
          </w:p>
        </w:tc>
        <w:tc>
          <w:tcPr>
            <w:tcW w:w="3240" w:type="dxa"/>
          </w:tcPr>
          <w:p w:rsidR="00F12D02" w:rsidRDefault="00F12D02">
            <w:pPr>
              <w:rPr>
                <w:rFonts w:ascii="Arial" w:hAnsi="Arial" w:cs="Arial"/>
                <w:sz w:val="20"/>
                <w:szCs w:val="20"/>
              </w:rPr>
            </w:pPr>
            <w:r>
              <w:rPr>
                <w:rFonts w:ascii="Arial" w:hAnsi="Arial" w:cs="Arial"/>
                <w:sz w:val="20"/>
                <w:szCs w:val="20"/>
              </w:rPr>
              <w:t>NUMBER</w:t>
            </w:r>
          </w:p>
        </w:tc>
      </w:tr>
      <w:tr w:rsidR="00F12D02">
        <w:tc>
          <w:tcPr>
            <w:tcW w:w="3528" w:type="dxa"/>
          </w:tcPr>
          <w:p w:rsidR="00F12D02" w:rsidRDefault="00F12D02">
            <w:pPr>
              <w:rPr>
                <w:rFonts w:ascii="Arial" w:hAnsi="Arial" w:cs="Arial"/>
                <w:sz w:val="20"/>
                <w:szCs w:val="20"/>
              </w:rPr>
            </w:pPr>
            <w:r>
              <w:rPr>
                <w:rFonts w:ascii="Arial" w:hAnsi="Arial" w:cs="Arial"/>
                <w:sz w:val="20"/>
                <w:szCs w:val="20"/>
              </w:rPr>
              <w:t>Synch Reserve Capability (MWh)</w:t>
            </w:r>
          </w:p>
        </w:tc>
        <w:tc>
          <w:tcPr>
            <w:tcW w:w="3960" w:type="dxa"/>
          </w:tcPr>
          <w:p w:rsidR="00F12D02" w:rsidRDefault="00F12D02">
            <w:pPr>
              <w:rPr>
                <w:rFonts w:ascii="Arial" w:hAnsi="Arial" w:cs="Arial"/>
                <w:sz w:val="20"/>
                <w:szCs w:val="20"/>
              </w:rPr>
            </w:pPr>
            <w:r>
              <w:rPr>
                <w:rFonts w:ascii="Arial" w:hAnsi="Arial" w:cs="Arial"/>
                <w:sz w:val="20"/>
                <w:szCs w:val="20"/>
              </w:rPr>
              <w:t>SYNCH_RES_CAPABILITY</w:t>
            </w:r>
          </w:p>
        </w:tc>
        <w:tc>
          <w:tcPr>
            <w:tcW w:w="1620" w:type="dxa"/>
          </w:tcPr>
          <w:p w:rsidR="00F12D02" w:rsidRDefault="00F12D02">
            <w:pPr>
              <w:rPr>
                <w:rFonts w:ascii="Arial" w:hAnsi="Arial" w:cs="Arial"/>
                <w:sz w:val="20"/>
                <w:szCs w:val="20"/>
              </w:rPr>
            </w:pPr>
            <w:r>
              <w:rPr>
                <w:rFonts w:ascii="Arial" w:hAnsi="Arial" w:cs="Arial"/>
                <w:sz w:val="20"/>
                <w:szCs w:val="20"/>
              </w:rPr>
              <w:t>2360.21</w:t>
            </w:r>
          </w:p>
        </w:tc>
        <w:tc>
          <w:tcPr>
            <w:tcW w:w="3240" w:type="dxa"/>
          </w:tcPr>
          <w:p w:rsidR="00F12D02" w:rsidRDefault="00F12D02">
            <w:pPr>
              <w:rPr>
                <w:rFonts w:ascii="Arial" w:hAnsi="Arial" w:cs="Arial"/>
                <w:sz w:val="20"/>
                <w:szCs w:val="20"/>
              </w:rPr>
            </w:pPr>
            <w:r>
              <w:rPr>
                <w:rFonts w:ascii="Arial" w:hAnsi="Arial" w:cs="Arial"/>
                <w:sz w:val="20"/>
                <w:szCs w:val="20"/>
              </w:rPr>
              <w:t>NUMBER</w:t>
            </w:r>
          </w:p>
        </w:tc>
      </w:tr>
      <w:tr w:rsidR="00F12D02">
        <w:tc>
          <w:tcPr>
            <w:tcW w:w="3528" w:type="dxa"/>
          </w:tcPr>
          <w:p w:rsidR="00F12D02" w:rsidRDefault="00F12D02" w:rsidP="004F50FD">
            <w:pPr>
              <w:rPr>
                <w:rFonts w:ascii="Arial" w:hAnsi="Arial" w:cs="Arial"/>
                <w:sz w:val="20"/>
                <w:szCs w:val="20"/>
              </w:rPr>
            </w:pPr>
            <w:r>
              <w:rPr>
                <w:rFonts w:ascii="Arial" w:hAnsi="Arial" w:cs="Arial"/>
                <w:sz w:val="20"/>
                <w:szCs w:val="20"/>
              </w:rPr>
              <w:t>Tier 1 Adjustment</w:t>
            </w:r>
            <w:r w:rsidR="004F50FD">
              <w:rPr>
                <w:rFonts w:ascii="Arial" w:hAnsi="Arial" w:cs="Arial"/>
                <w:sz w:val="20"/>
                <w:szCs w:val="20"/>
              </w:rPr>
              <w:t xml:space="preserve"> MW</w:t>
            </w:r>
          </w:p>
        </w:tc>
        <w:tc>
          <w:tcPr>
            <w:tcW w:w="3960" w:type="dxa"/>
          </w:tcPr>
          <w:p w:rsidR="00F12D02" w:rsidRDefault="00F12D02">
            <w:pPr>
              <w:rPr>
                <w:rFonts w:ascii="Arial" w:hAnsi="Arial" w:cs="Arial"/>
                <w:sz w:val="20"/>
                <w:szCs w:val="20"/>
              </w:rPr>
            </w:pPr>
            <w:r>
              <w:rPr>
                <w:rFonts w:ascii="Arial" w:hAnsi="Arial" w:cs="Arial"/>
                <w:sz w:val="20"/>
                <w:szCs w:val="20"/>
              </w:rPr>
              <w:t>TIER1_ADJUSTMENT</w:t>
            </w:r>
            <w:r w:rsidR="004F50FD">
              <w:rPr>
                <w:rFonts w:ascii="Arial" w:hAnsi="Arial" w:cs="Arial"/>
                <w:sz w:val="20"/>
                <w:szCs w:val="20"/>
              </w:rPr>
              <w:t>_MW</w:t>
            </w:r>
          </w:p>
        </w:tc>
        <w:tc>
          <w:tcPr>
            <w:tcW w:w="1620" w:type="dxa"/>
          </w:tcPr>
          <w:p w:rsidR="00F12D02" w:rsidRDefault="00F12D02">
            <w:pPr>
              <w:rPr>
                <w:rFonts w:ascii="Arial" w:hAnsi="Arial" w:cs="Arial"/>
                <w:sz w:val="20"/>
                <w:szCs w:val="20"/>
              </w:rPr>
            </w:pPr>
            <w:r>
              <w:rPr>
                <w:rFonts w:ascii="Arial" w:hAnsi="Arial" w:cs="Arial"/>
                <w:sz w:val="20"/>
                <w:szCs w:val="20"/>
              </w:rPr>
              <w:t>2360.22</w:t>
            </w:r>
          </w:p>
        </w:tc>
        <w:tc>
          <w:tcPr>
            <w:tcW w:w="3240" w:type="dxa"/>
          </w:tcPr>
          <w:p w:rsidR="00F12D02" w:rsidRDefault="00F12D02">
            <w:pPr>
              <w:rPr>
                <w:rFonts w:ascii="Arial" w:hAnsi="Arial" w:cs="Arial"/>
                <w:sz w:val="20"/>
                <w:szCs w:val="20"/>
              </w:rPr>
            </w:pPr>
            <w:r>
              <w:rPr>
                <w:rFonts w:ascii="Arial" w:hAnsi="Arial" w:cs="Arial"/>
                <w:sz w:val="20"/>
                <w:szCs w:val="20"/>
              </w:rPr>
              <w:t>NUMBER</w:t>
            </w:r>
          </w:p>
        </w:tc>
      </w:tr>
      <w:tr w:rsidR="00F12D02">
        <w:tc>
          <w:tcPr>
            <w:tcW w:w="3528" w:type="dxa"/>
          </w:tcPr>
          <w:p w:rsidR="00F12D02" w:rsidRDefault="00F12D02" w:rsidP="004F50FD">
            <w:pPr>
              <w:rPr>
                <w:rFonts w:ascii="Arial" w:hAnsi="Arial" w:cs="Arial"/>
                <w:sz w:val="20"/>
                <w:szCs w:val="20"/>
              </w:rPr>
            </w:pPr>
            <w:r>
              <w:rPr>
                <w:rFonts w:ascii="Arial" w:hAnsi="Arial" w:cs="Arial"/>
                <w:sz w:val="20"/>
                <w:szCs w:val="20"/>
              </w:rPr>
              <w:t>Tier 1 Credit MW</w:t>
            </w:r>
          </w:p>
        </w:tc>
        <w:tc>
          <w:tcPr>
            <w:tcW w:w="3960" w:type="dxa"/>
          </w:tcPr>
          <w:p w:rsidR="00F12D02" w:rsidRDefault="00F12D02">
            <w:pPr>
              <w:rPr>
                <w:rFonts w:ascii="Arial" w:hAnsi="Arial" w:cs="Arial"/>
                <w:sz w:val="20"/>
                <w:szCs w:val="20"/>
              </w:rPr>
            </w:pPr>
            <w:r>
              <w:rPr>
                <w:rFonts w:ascii="Arial" w:hAnsi="Arial" w:cs="Arial"/>
                <w:sz w:val="20"/>
                <w:szCs w:val="20"/>
              </w:rPr>
              <w:t>TIER1_CREDIT_MW</w:t>
            </w:r>
          </w:p>
        </w:tc>
        <w:tc>
          <w:tcPr>
            <w:tcW w:w="1620" w:type="dxa"/>
          </w:tcPr>
          <w:p w:rsidR="00F12D02" w:rsidRDefault="00F12D02">
            <w:pPr>
              <w:rPr>
                <w:rFonts w:ascii="Arial" w:hAnsi="Arial" w:cs="Arial"/>
                <w:sz w:val="20"/>
                <w:szCs w:val="20"/>
              </w:rPr>
            </w:pPr>
            <w:r>
              <w:rPr>
                <w:rFonts w:ascii="Arial" w:hAnsi="Arial" w:cs="Arial"/>
                <w:sz w:val="20"/>
                <w:szCs w:val="20"/>
              </w:rPr>
              <w:t>2360.23</w:t>
            </w:r>
          </w:p>
        </w:tc>
        <w:tc>
          <w:tcPr>
            <w:tcW w:w="3240" w:type="dxa"/>
          </w:tcPr>
          <w:p w:rsidR="00F12D02" w:rsidRDefault="00F12D02">
            <w:pPr>
              <w:rPr>
                <w:rFonts w:ascii="Arial" w:hAnsi="Arial" w:cs="Arial"/>
                <w:sz w:val="20"/>
                <w:szCs w:val="20"/>
              </w:rPr>
            </w:pPr>
            <w:r>
              <w:rPr>
                <w:rFonts w:ascii="Arial" w:hAnsi="Arial" w:cs="Arial"/>
                <w:sz w:val="20"/>
                <w:szCs w:val="20"/>
              </w:rPr>
              <w:t>NUMBER</w:t>
            </w:r>
          </w:p>
        </w:tc>
      </w:tr>
      <w:tr w:rsidR="00F12D02">
        <w:tc>
          <w:tcPr>
            <w:tcW w:w="3528" w:type="dxa"/>
          </w:tcPr>
          <w:p w:rsidR="00F12D02" w:rsidRDefault="00F12D02">
            <w:pPr>
              <w:rPr>
                <w:rFonts w:ascii="Arial" w:hAnsi="Arial" w:cs="Arial"/>
                <w:sz w:val="20"/>
                <w:szCs w:val="20"/>
              </w:rPr>
            </w:pPr>
            <w:r>
              <w:rPr>
                <w:rFonts w:ascii="Arial" w:hAnsi="Arial" w:cs="Arial"/>
                <w:sz w:val="20"/>
                <w:szCs w:val="20"/>
              </w:rPr>
              <w:t>Tier 1 Premium Price ($/MWh)</w:t>
            </w:r>
          </w:p>
        </w:tc>
        <w:tc>
          <w:tcPr>
            <w:tcW w:w="3960" w:type="dxa"/>
          </w:tcPr>
          <w:p w:rsidR="00F12D02" w:rsidRDefault="00F12D02">
            <w:pPr>
              <w:rPr>
                <w:rFonts w:ascii="Arial" w:hAnsi="Arial" w:cs="Arial"/>
                <w:sz w:val="20"/>
                <w:szCs w:val="20"/>
              </w:rPr>
            </w:pPr>
            <w:r>
              <w:rPr>
                <w:rFonts w:ascii="Arial" w:hAnsi="Arial" w:cs="Arial"/>
                <w:sz w:val="20"/>
                <w:szCs w:val="20"/>
              </w:rPr>
              <w:t>TIER1_PREMIUM_PRICE</w:t>
            </w:r>
          </w:p>
        </w:tc>
        <w:tc>
          <w:tcPr>
            <w:tcW w:w="1620" w:type="dxa"/>
          </w:tcPr>
          <w:p w:rsidR="00F12D02" w:rsidRDefault="00F12D02">
            <w:pPr>
              <w:rPr>
                <w:rFonts w:ascii="Arial" w:hAnsi="Arial" w:cs="Arial"/>
                <w:sz w:val="20"/>
                <w:szCs w:val="20"/>
              </w:rPr>
            </w:pPr>
            <w:r>
              <w:rPr>
                <w:rFonts w:ascii="Arial" w:hAnsi="Arial" w:cs="Arial"/>
                <w:sz w:val="20"/>
                <w:szCs w:val="20"/>
              </w:rPr>
              <w:t>3000.64</w:t>
            </w:r>
          </w:p>
        </w:tc>
        <w:tc>
          <w:tcPr>
            <w:tcW w:w="3240" w:type="dxa"/>
          </w:tcPr>
          <w:p w:rsidR="00F12D02" w:rsidRDefault="00F12D02">
            <w:pPr>
              <w:rPr>
                <w:rFonts w:ascii="Arial" w:hAnsi="Arial" w:cs="Arial"/>
                <w:sz w:val="20"/>
                <w:szCs w:val="20"/>
              </w:rPr>
            </w:pPr>
            <w:r>
              <w:rPr>
                <w:rFonts w:ascii="Arial" w:hAnsi="Arial" w:cs="Arial"/>
                <w:sz w:val="20"/>
                <w:szCs w:val="20"/>
              </w:rPr>
              <w:t>NUMBER</w:t>
            </w:r>
          </w:p>
        </w:tc>
      </w:tr>
      <w:tr w:rsidR="00F12D02">
        <w:tc>
          <w:tcPr>
            <w:tcW w:w="3528" w:type="dxa"/>
          </w:tcPr>
          <w:p w:rsidR="00F12D02" w:rsidRDefault="00F12D02">
            <w:pPr>
              <w:rPr>
                <w:rFonts w:ascii="Arial" w:hAnsi="Arial" w:cs="Arial"/>
                <w:sz w:val="20"/>
                <w:szCs w:val="20"/>
              </w:rPr>
            </w:pPr>
            <w:r>
              <w:rPr>
                <w:rFonts w:ascii="Arial" w:hAnsi="Arial" w:cs="Arial"/>
                <w:sz w:val="20"/>
                <w:szCs w:val="20"/>
              </w:rPr>
              <w:t>Tier 1 Credit ($)</w:t>
            </w:r>
          </w:p>
        </w:tc>
        <w:tc>
          <w:tcPr>
            <w:tcW w:w="3960" w:type="dxa"/>
          </w:tcPr>
          <w:p w:rsidR="00F12D02" w:rsidRDefault="00F12D02">
            <w:pPr>
              <w:rPr>
                <w:rFonts w:ascii="Arial" w:hAnsi="Arial" w:cs="Arial"/>
                <w:sz w:val="20"/>
                <w:szCs w:val="20"/>
              </w:rPr>
            </w:pPr>
            <w:r>
              <w:rPr>
                <w:rFonts w:ascii="Arial" w:hAnsi="Arial" w:cs="Arial"/>
                <w:sz w:val="20"/>
                <w:szCs w:val="20"/>
              </w:rPr>
              <w:t>TIER1_CREDIT</w:t>
            </w:r>
          </w:p>
        </w:tc>
        <w:tc>
          <w:tcPr>
            <w:tcW w:w="1620" w:type="dxa"/>
          </w:tcPr>
          <w:p w:rsidR="00F12D02" w:rsidRDefault="00F12D02">
            <w:pPr>
              <w:rPr>
                <w:rFonts w:ascii="Arial" w:hAnsi="Arial" w:cs="Arial"/>
                <w:sz w:val="20"/>
                <w:szCs w:val="20"/>
              </w:rPr>
            </w:pPr>
            <w:r>
              <w:rPr>
                <w:rFonts w:ascii="Arial" w:hAnsi="Arial" w:cs="Arial"/>
                <w:sz w:val="20"/>
                <w:szCs w:val="20"/>
              </w:rPr>
              <w:t>2360.24</w:t>
            </w:r>
          </w:p>
        </w:tc>
        <w:tc>
          <w:tcPr>
            <w:tcW w:w="3240" w:type="dxa"/>
          </w:tcPr>
          <w:p w:rsidR="00F12D02" w:rsidRDefault="00F12D02">
            <w:pPr>
              <w:rPr>
                <w:rFonts w:ascii="Arial" w:hAnsi="Arial" w:cs="Arial"/>
                <w:sz w:val="20"/>
                <w:szCs w:val="20"/>
              </w:rPr>
            </w:pPr>
            <w:r>
              <w:rPr>
                <w:rFonts w:ascii="Arial" w:hAnsi="Arial" w:cs="Arial"/>
                <w:sz w:val="20"/>
                <w:szCs w:val="20"/>
              </w:rPr>
              <w:t>NUMBER(22,2)</w:t>
            </w:r>
          </w:p>
        </w:tc>
      </w:tr>
      <w:tr w:rsidR="00F12D02">
        <w:tc>
          <w:tcPr>
            <w:tcW w:w="3528" w:type="dxa"/>
          </w:tcPr>
          <w:p w:rsidR="00F12D02" w:rsidRDefault="00F12D02">
            <w:pPr>
              <w:rPr>
                <w:rFonts w:ascii="Arial" w:hAnsi="Arial" w:cs="Arial"/>
                <w:sz w:val="20"/>
                <w:szCs w:val="20"/>
              </w:rPr>
            </w:pPr>
            <w:r>
              <w:rPr>
                <w:rFonts w:ascii="Arial" w:hAnsi="Arial" w:cs="Arial"/>
                <w:sz w:val="20"/>
                <w:szCs w:val="20"/>
              </w:rPr>
              <w:t>Version</w:t>
            </w:r>
          </w:p>
        </w:tc>
        <w:tc>
          <w:tcPr>
            <w:tcW w:w="3960" w:type="dxa"/>
          </w:tcPr>
          <w:p w:rsidR="00F12D02" w:rsidRDefault="00F12D02">
            <w:pPr>
              <w:rPr>
                <w:rFonts w:ascii="Arial" w:hAnsi="Arial" w:cs="Arial"/>
                <w:sz w:val="20"/>
                <w:szCs w:val="20"/>
              </w:rPr>
            </w:pPr>
            <w:r>
              <w:rPr>
                <w:rFonts w:ascii="Arial" w:hAnsi="Arial" w:cs="Arial"/>
                <w:sz w:val="20"/>
                <w:szCs w:val="20"/>
              </w:rPr>
              <w:t>VERSION</w:t>
            </w:r>
          </w:p>
        </w:tc>
        <w:tc>
          <w:tcPr>
            <w:tcW w:w="1620" w:type="dxa"/>
          </w:tcPr>
          <w:p w:rsidR="00F12D02" w:rsidRDefault="00F12D02">
            <w:pPr>
              <w:rPr>
                <w:rFonts w:ascii="Arial" w:hAnsi="Arial" w:cs="Arial"/>
                <w:sz w:val="20"/>
                <w:szCs w:val="20"/>
              </w:rPr>
            </w:pPr>
            <w:r>
              <w:rPr>
                <w:rFonts w:ascii="Arial" w:hAnsi="Arial" w:cs="Arial"/>
                <w:sz w:val="20"/>
                <w:szCs w:val="20"/>
              </w:rPr>
              <w:t>4000.07</w:t>
            </w:r>
          </w:p>
        </w:tc>
        <w:tc>
          <w:tcPr>
            <w:tcW w:w="3240" w:type="dxa"/>
          </w:tcPr>
          <w:p w:rsidR="00F12D02" w:rsidRDefault="00F12D02">
            <w:pPr>
              <w:rPr>
                <w:rFonts w:ascii="Arial" w:hAnsi="Arial" w:cs="Arial"/>
                <w:sz w:val="20"/>
                <w:szCs w:val="20"/>
              </w:rPr>
            </w:pPr>
            <w:r>
              <w:rPr>
                <w:rFonts w:ascii="Arial" w:hAnsi="Arial" w:cs="Arial"/>
                <w:sz w:val="20"/>
                <w:szCs w:val="20"/>
              </w:rPr>
              <w:t>VARCHAR2(12)</w:t>
            </w:r>
          </w:p>
        </w:tc>
      </w:tr>
    </w:tbl>
    <w:p w:rsidR="00F12D02" w:rsidRDefault="00F12D02">
      <w:pPr>
        <w:pStyle w:val="Heading1"/>
      </w:pPr>
      <w:r>
        <w:t xml:space="preserve">CSV </w:t>
      </w:r>
      <w:bookmarkEnd w:id="1"/>
      <w:r>
        <w:t>Report Example</w:t>
      </w:r>
    </w:p>
    <w:p w:rsidR="00F12D02" w:rsidRDefault="00F12D02">
      <w:pPr>
        <w:ind w:left="432"/>
        <w:rPr>
          <w:rFonts w:ascii="Arial" w:hAnsi="Arial" w:cs="Arial"/>
          <w:sz w:val="20"/>
        </w:rPr>
      </w:pPr>
      <w:r>
        <w:rPr>
          <w:rFonts w:ascii="Arial" w:hAnsi="Arial" w:cs="Arial"/>
          <w:sz w:val="20"/>
        </w:rPr>
        <w:t>See Excel file titled “Synchronized Reserve Tier 1 Credits CSV Format.csv”</w:t>
      </w:r>
    </w:p>
    <w:p w:rsidR="00F12D02" w:rsidRDefault="00F12D02">
      <w:pPr>
        <w:pStyle w:val="Heading1"/>
      </w:pPr>
      <w:r>
        <w:t>XML Report Example</w:t>
      </w:r>
    </w:p>
    <w:p w:rsidR="00F12D02" w:rsidRDefault="00F12D02">
      <w:pPr>
        <w:ind w:left="432"/>
        <w:rPr>
          <w:rFonts w:ascii="Arial" w:hAnsi="Arial" w:cs="Arial"/>
          <w:sz w:val="20"/>
        </w:rPr>
      </w:pPr>
      <w:r>
        <w:rPr>
          <w:rFonts w:ascii="Arial" w:hAnsi="Arial" w:cs="Arial"/>
          <w:sz w:val="20"/>
        </w:rPr>
        <w:t>See XML file titled “Synchronized Reserve Tier 1 Credits XML Format.xml”</w:t>
      </w:r>
    </w:p>
    <w:p w:rsidR="00F12D02" w:rsidRDefault="00F12D02">
      <w:pPr>
        <w:pStyle w:val="Heading1"/>
      </w:pPr>
      <w:r>
        <w:t>Hyperlinks</w:t>
      </w:r>
    </w:p>
    <w:p w:rsidR="00F12D02" w:rsidRDefault="00F12D02">
      <w:pPr>
        <w:ind w:left="432"/>
        <w:rPr>
          <w:rFonts w:ascii="Arial" w:hAnsi="Arial" w:cs="Arial"/>
          <w:sz w:val="20"/>
        </w:rPr>
      </w:pPr>
      <w:r>
        <w:rPr>
          <w:rFonts w:ascii="Arial" w:hAnsi="Arial" w:cs="Arial"/>
          <w:sz w:val="20"/>
        </w:rPr>
        <w:t>The online version of this report does not contain hyperlinks.</w:t>
      </w:r>
    </w:p>
    <w:p w:rsidR="00466416" w:rsidRDefault="00466416" w:rsidP="00466416">
      <w:pPr>
        <w:pStyle w:val="Heading1"/>
        <w:numPr>
          <w:ilvl w:val="0"/>
          <w:numId w:val="0"/>
        </w:numPr>
        <w:ind w:left="432"/>
      </w:pPr>
    </w:p>
    <w:p w:rsidR="00466416" w:rsidRDefault="00466416" w:rsidP="00466416"/>
    <w:p w:rsidR="007C5798" w:rsidRDefault="007C5798">
      <w:r>
        <w:br w:type="page"/>
      </w:r>
    </w:p>
    <w:p w:rsidR="007C5798" w:rsidRDefault="007C5798" w:rsidP="007C5798">
      <w:pPr>
        <w:pStyle w:val="Heading1"/>
        <w:numPr>
          <w:ilvl w:val="0"/>
          <w:numId w:val="0"/>
        </w:numPr>
        <w:ind w:left="432" w:hanging="432"/>
      </w:pPr>
      <w:r>
        <w:lastRenderedPageBreak/>
        <w:t>9   Supporting Calculations</w:t>
      </w:r>
    </w:p>
    <w:p w:rsidR="00C0434D" w:rsidRDefault="00C0434D">
      <w:pPr>
        <w:ind w:left="432"/>
        <w:rPr>
          <w:rFonts w:ascii="Arial" w:hAnsi="Arial" w:cs="Arial"/>
          <w:sz w:val="20"/>
        </w:rPr>
      </w:pPr>
    </w:p>
    <w:p w:rsidR="00623D74" w:rsidRPr="002E758A" w:rsidRDefault="00623D74" w:rsidP="00623D74">
      <w:pPr>
        <w:rPr>
          <w:rFonts w:ascii="Arial" w:hAnsi="Arial" w:cs="Arial"/>
          <w:b/>
          <w:sz w:val="20"/>
        </w:rPr>
      </w:pPr>
      <w:r w:rsidRPr="002E758A">
        <w:rPr>
          <w:rFonts w:ascii="Arial" w:hAnsi="Arial" w:cs="Arial"/>
          <w:b/>
          <w:sz w:val="20"/>
        </w:rPr>
        <w:t xml:space="preserve">For Trade dates prior to 10/1/2012, </w:t>
      </w:r>
    </w:p>
    <w:p w:rsidR="00623D74" w:rsidRDefault="00623D74" w:rsidP="00623D74">
      <w:pPr>
        <w:rPr>
          <w:rFonts w:ascii="Arial" w:hAnsi="Arial" w:cs="Arial"/>
          <w:sz w:val="20"/>
        </w:rPr>
      </w:pPr>
    </w:p>
    <w:p w:rsidR="00623D74" w:rsidRDefault="00623D74" w:rsidP="00623D74">
      <w:pPr>
        <w:ind w:left="432" w:firstLine="288"/>
        <w:rPr>
          <w:rFonts w:ascii="Arial" w:hAnsi="Arial" w:cs="Arial"/>
          <w:sz w:val="20"/>
        </w:rPr>
      </w:pPr>
      <w:r>
        <w:rPr>
          <w:rFonts w:ascii="Arial" w:hAnsi="Arial" w:cs="Arial"/>
          <w:sz w:val="20"/>
        </w:rPr>
        <w:t>If Tier 1 Synch Reserve Response (2360.20) is &lt;= Synch Reserve Capability (2360.21):</w:t>
      </w:r>
    </w:p>
    <w:p w:rsidR="00623D74" w:rsidRDefault="00623D74" w:rsidP="00623D74">
      <w:pPr>
        <w:ind w:left="432"/>
        <w:rPr>
          <w:rFonts w:ascii="Arial" w:hAnsi="Arial" w:cs="Arial"/>
          <w:sz w:val="20"/>
        </w:rPr>
      </w:pPr>
    </w:p>
    <w:p w:rsidR="00623D74" w:rsidRDefault="00623D74" w:rsidP="00623D74">
      <w:pPr>
        <w:ind w:left="43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Tier 1 Credit MWh (2360.23) =  Tier 1 Synch Reserve Response (2360.20) + Tier 1 Adjustment (2360.22)</w:t>
      </w:r>
    </w:p>
    <w:p w:rsidR="00623D74" w:rsidRDefault="00623D74" w:rsidP="00623D74">
      <w:pPr>
        <w:ind w:left="432"/>
        <w:rPr>
          <w:rFonts w:ascii="Arial" w:hAnsi="Arial" w:cs="Arial"/>
          <w:sz w:val="20"/>
        </w:rPr>
      </w:pPr>
    </w:p>
    <w:p w:rsidR="00623D74" w:rsidRDefault="00623D74" w:rsidP="00623D74">
      <w:pPr>
        <w:ind w:left="432"/>
        <w:rPr>
          <w:rFonts w:ascii="Arial" w:hAnsi="Arial" w:cs="Arial"/>
          <w:sz w:val="20"/>
        </w:rPr>
      </w:pPr>
    </w:p>
    <w:p w:rsidR="00623D74" w:rsidRDefault="00623D74" w:rsidP="00623D74">
      <w:pPr>
        <w:ind w:left="432" w:firstLine="288"/>
        <w:rPr>
          <w:rFonts w:ascii="Arial" w:hAnsi="Arial" w:cs="Arial"/>
          <w:sz w:val="20"/>
        </w:rPr>
      </w:pPr>
      <w:r>
        <w:rPr>
          <w:rFonts w:ascii="Arial" w:hAnsi="Arial" w:cs="Arial"/>
          <w:sz w:val="20"/>
        </w:rPr>
        <w:t>If Tier 1 Synch Reserve Response (2360.20) is &gt; Synch Reserve Capability (2360.21):</w:t>
      </w:r>
    </w:p>
    <w:p w:rsidR="00623D74" w:rsidRDefault="00623D74" w:rsidP="00623D74">
      <w:pPr>
        <w:ind w:left="432"/>
        <w:rPr>
          <w:rFonts w:ascii="Arial" w:hAnsi="Arial" w:cs="Arial"/>
          <w:sz w:val="20"/>
        </w:rPr>
      </w:pPr>
    </w:p>
    <w:p w:rsidR="00623D74" w:rsidRDefault="00623D74" w:rsidP="00623D74">
      <w:pPr>
        <w:ind w:left="1152" w:firstLine="288"/>
        <w:rPr>
          <w:rFonts w:ascii="Arial" w:hAnsi="Arial" w:cs="Arial"/>
          <w:sz w:val="20"/>
        </w:rPr>
      </w:pPr>
      <w:r>
        <w:rPr>
          <w:rFonts w:ascii="Arial" w:hAnsi="Arial" w:cs="Arial"/>
          <w:sz w:val="20"/>
        </w:rPr>
        <w:t>Tier 1 Credit MWh (2360.23) = Synch Reserve Capability (2350.21) + Tier 1 Adjustment (2360.22)</w:t>
      </w:r>
    </w:p>
    <w:p w:rsidR="002E758A" w:rsidRDefault="002E758A" w:rsidP="00623D74">
      <w:pPr>
        <w:ind w:left="1152" w:firstLine="288"/>
        <w:rPr>
          <w:rFonts w:ascii="Arial" w:hAnsi="Arial" w:cs="Arial"/>
          <w:sz w:val="20"/>
        </w:rPr>
      </w:pPr>
    </w:p>
    <w:p w:rsidR="002E758A" w:rsidRDefault="002E758A" w:rsidP="002E758A">
      <w:pPr>
        <w:rPr>
          <w:rFonts w:ascii="Arial" w:hAnsi="Arial" w:cs="Arial"/>
          <w:sz w:val="20"/>
        </w:rPr>
      </w:pPr>
    </w:p>
    <w:p w:rsidR="002E758A" w:rsidRDefault="002E758A" w:rsidP="002E758A">
      <w:pPr>
        <w:rPr>
          <w:rFonts w:ascii="Arial" w:hAnsi="Arial" w:cs="Arial"/>
          <w:sz w:val="20"/>
        </w:rPr>
      </w:pPr>
      <w:r>
        <w:rPr>
          <w:rFonts w:ascii="Arial" w:hAnsi="Arial" w:cs="Arial"/>
          <w:sz w:val="20"/>
        </w:rPr>
        <w:t>Tier 1 Credits (2360.24) = Tier 1 Credit MWh (2360.23) * (Tier 1 Premium Price (3000.64) – RT Generator LMP (3000.25))</w:t>
      </w:r>
    </w:p>
    <w:p w:rsidR="002E758A" w:rsidRPr="002E758A" w:rsidRDefault="002E758A" w:rsidP="00623D74">
      <w:pPr>
        <w:ind w:left="1152" w:firstLine="288"/>
        <w:rPr>
          <w:rFonts w:ascii="Arial" w:hAnsi="Arial" w:cs="Arial"/>
          <w:b/>
          <w:sz w:val="20"/>
        </w:rPr>
      </w:pPr>
    </w:p>
    <w:p w:rsidR="00623D74" w:rsidRDefault="00623D74" w:rsidP="001E1E18">
      <w:pPr>
        <w:rPr>
          <w:rFonts w:ascii="Arial" w:hAnsi="Arial" w:cs="Arial"/>
          <w:sz w:val="20"/>
        </w:rPr>
      </w:pPr>
    </w:p>
    <w:p w:rsidR="00623D74" w:rsidRPr="002E758A" w:rsidRDefault="00623D74" w:rsidP="001E1E18">
      <w:pPr>
        <w:rPr>
          <w:rFonts w:ascii="Arial" w:hAnsi="Arial" w:cs="Arial"/>
          <w:b/>
          <w:sz w:val="20"/>
        </w:rPr>
      </w:pPr>
      <w:r w:rsidRPr="002E758A">
        <w:rPr>
          <w:rFonts w:ascii="Arial" w:hAnsi="Arial" w:cs="Arial"/>
          <w:b/>
          <w:sz w:val="20"/>
        </w:rPr>
        <w:t xml:space="preserve">For trade dates 10/1/2012 forward, </w:t>
      </w:r>
    </w:p>
    <w:p w:rsidR="00623D74" w:rsidRDefault="00623D74" w:rsidP="001E1E18">
      <w:pPr>
        <w:rPr>
          <w:rFonts w:ascii="Arial" w:hAnsi="Arial" w:cs="Arial"/>
          <w:sz w:val="20"/>
        </w:rPr>
      </w:pPr>
    </w:p>
    <w:p w:rsidR="00F12D02" w:rsidRDefault="00C0434D" w:rsidP="001E1E18">
      <w:pPr>
        <w:rPr>
          <w:rFonts w:ascii="Arial" w:hAnsi="Arial" w:cs="Arial"/>
          <w:sz w:val="20"/>
        </w:rPr>
      </w:pPr>
      <w:r>
        <w:rPr>
          <w:rFonts w:ascii="Arial" w:hAnsi="Arial" w:cs="Arial"/>
          <w:sz w:val="20"/>
        </w:rPr>
        <w:t xml:space="preserve">If the </w:t>
      </w:r>
      <w:r w:rsidRPr="00C0434D">
        <w:rPr>
          <w:rFonts w:ascii="Arial" w:hAnsi="Arial" w:cs="Arial"/>
          <w:sz w:val="20"/>
        </w:rPr>
        <w:t xml:space="preserve">Non-Synchronized </w:t>
      </w:r>
      <w:r w:rsidR="00E659B0">
        <w:rPr>
          <w:rFonts w:ascii="Arial" w:hAnsi="Arial" w:cs="Arial"/>
          <w:sz w:val="20"/>
        </w:rPr>
        <w:t xml:space="preserve">Reserve </w:t>
      </w:r>
      <w:r w:rsidRPr="00C0434D">
        <w:rPr>
          <w:rFonts w:ascii="Arial" w:hAnsi="Arial" w:cs="Arial"/>
          <w:sz w:val="20"/>
        </w:rPr>
        <w:t xml:space="preserve">Market Clearing Price is zero </w:t>
      </w:r>
      <w:r w:rsidR="00802A8C">
        <w:rPr>
          <w:rFonts w:ascii="Arial" w:hAnsi="Arial" w:cs="Arial"/>
          <w:sz w:val="20"/>
        </w:rPr>
        <w:t>and there is a synchronized reserve event in the applicable reserve zone or sub-zone then:</w:t>
      </w:r>
    </w:p>
    <w:p w:rsidR="00802A8C" w:rsidRDefault="00802A8C">
      <w:pPr>
        <w:ind w:left="432"/>
        <w:rPr>
          <w:rFonts w:ascii="Arial" w:hAnsi="Arial" w:cs="Arial"/>
          <w:sz w:val="20"/>
        </w:rPr>
      </w:pPr>
    </w:p>
    <w:p w:rsidR="00C941D3" w:rsidRDefault="00C941D3" w:rsidP="004B54BD">
      <w:pPr>
        <w:ind w:left="432" w:firstLine="288"/>
        <w:rPr>
          <w:rFonts w:ascii="Arial" w:hAnsi="Arial" w:cs="Arial"/>
          <w:sz w:val="20"/>
        </w:rPr>
      </w:pPr>
    </w:p>
    <w:p w:rsidR="00802A8C" w:rsidRDefault="00802A8C" w:rsidP="004B54BD">
      <w:pPr>
        <w:ind w:left="432" w:firstLine="288"/>
        <w:rPr>
          <w:rFonts w:ascii="Arial" w:hAnsi="Arial" w:cs="Arial"/>
          <w:sz w:val="20"/>
        </w:rPr>
      </w:pPr>
      <w:r>
        <w:rPr>
          <w:rFonts w:ascii="Arial" w:hAnsi="Arial" w:cs="Arial"/>
          <w:sz w:val="20"/>
        </w:rPr>
        <w:t>If Tier 1 Synch Reserve Response (2360.20) is &lt;= Synch Reserve Capability</w:t>
      </w:r>
      <w:r w:rsidR="00C941D3">
        <w:rPr>
          <w:rFonts w:ascii="Arial" w:hAnsi="Arial" w:cs="Arial"/>
          <w:sz w:val="20"/>
        </w:rPr>
        <w:t xml:space="preserve"> </w:t>
      </w:r>
      <w:r>
        <w:rPr>
          <w:rFonts w:ascii="Arial" w:hAnsi="Arial" w:cs="Arial"/>
          <w:sz w:val="20"/>
        </w:rPr>
        <w:t>(2360.21):</w:t>
      </w:r>
    </w:p>
    <w:p w:rsidR="00802A8C" w:rsidRDefault="00802A8C">
      <w:pPr>
        <w:ind w:left="432"/>
        <w:rPr>
          <w:rFonts w:ascii="Arial" w:hAnsi="Arial" w:cs="Arial"/>
          <w:sz w:val="20"/>
        </w:rPr>
      </w:pPr>
    </w:p>
    <w:p w:rsidR="00F12D02" w:rsidRDefault="00F12D02">
      <w:pPr>
        <w:ind w:left="432"/>
        <w:rPr>
          <w:rFonts w:ascii="Arial" w:hAnsi="Arial" w:cs="Arial"/>
          <w:sz w:val="20"/>
        </w:rPr>
      </w:pPr>
      <w:r>
        <w:rPr>
          <w:rFonts w:ascii="Arial" w:hAnsi="Arial" w:cs="Arial"/>
          <w:sz w:val="20"/>
        </w:rPr>
        <w:t xml:space="preserve"> </w:t>
      </w:r>
      <w:r>
        <w:rPr>
          <w:rFonts w:ascii="Arial" w:hAnsi="Arial" w:cs="Arial"/>
          <w:sz w:val="20"/>
        </w:rPr>
        <w:tab/>
      </w:r>
      <w:r w:rsidR="004B54BD">
        <w:rPr>
          <w:rFonts w:ascii="Arial" w:hAnsi="Arial" w:cs="Arial"/>
          <w:sz w:val="20"/>
        </w:rPr>
        <w:tab/>
      </w:r>
      <w:r>
        <w:rPr>
          <w:rFonts w:ascii="Arial" w:hAnsi="Arial" w:cs="Arial"/>
          <w:sz w:val="20"/>
        </w:rPr>
        <w:t>Tier 1 Credit MWh (2360.23) =  Tier 1 Sy</w:t>
      </w:r>
      <w:r w:rsidR="00C0434D">
        <w:rPr>
          <w:rFonts w:ascii="Arial" w:hAnsi="Arial" w:cs="Arial"/>
          <w:sz w:val="20"/>
        </w:rPr>
        <w:t xml:space="preserve">nch Reserve Response (2360.20) </w:t>
      </w:r>
      <w:r>
        <w:rPr>
          <w:rFonts w:ascii="Arial" w:hAnsi="Arial" w:cs="Arial"/>
          <w:sz w:val="20"/>
        </w:rPr>
        <w:t>+ Tier 1 Adjustment</w:t>
      </w:r>
      <w:r w:rsidR="00C0434D">
        <w:rPr>
          <w:rFonts w:ascii="Arial" w:hAnsi="Arial" w:cs="Arial"/>
          <w:sz w:val="20"/>
        </w:rPr>
        <w:t xml:space="preserve"> </w:t>
      </w:r>
      <w:r>
        <w:rPr>
          <w:rFonts w:ascii="Arial" w:hAnsi="Arial" w:cs="Arial"/>
          <w:sz w:val="20"/>
        </w:rPr>
        <w:t>(2360.22)</w:t>
      </w:r>
    </w:p>
    <w:p w:rsidR="00F12D02" w:rsidRDefault="00F12D02">
      <w:pPr>
        <w:ind w:left="432"/>
        <w:rPr>
          <w:rFonts w:ascii="Arial" w:hAnsi="Arial" w:cs="Arial"/>
          <w:sz w:val="20"/>
        </w:rPr>
      </w:pPr>
    </w:p>
    <w:p w:rsidR="00802A8C" w:rsidRDefault="00802A8C">
      <w:pPr>
        <w:ind w:left="432"/>
        <w:rPr>
          <w:rFonts w:ascii="Arial" w:hAnsi="Arial" w:cs="Arial"/>
          <w:sz w:val="20"/>
        </w:rPr>
      </w:pPr>
    </w:p>
    <w:p w:rsidR="00F12D02" w:rsidRDefault="00E659B0" w:rsidP="004B54BD">
      <w:pPr>
        <w:ind w:left="432" w:firstLine="288"/>
        <w:rPr>
          <w:rFonts w:ascii="Arial" w:hAnsi="Arial" w:cs="Arial"/>
          <w:sz w:val="20"/>
        </w:rPr>
      </w:pPr>
      <w:r>
        <w:rPr>
          <w:rFonts w:ascii="Arial" w:hAnsi="Arial" w:cs="Arial"/>
          <w:sz w:val="20"/>
        </w:rPr>
        <w:t xml:space="preserve">If </w:t>
      </w:r>
      <w:r w:rsidR="00F12D02">
        <w:rPr>
          <w:rFonts w:ascii="Arial" w:hAnsi="Arial" w:cs="Arial"/>
          <w:sz w:val="20"/>
        </w:rPr>
        <w:t xml:space="preserve">Tier 1 Synch Reserve Response (2360.20) is </w:t>
      </w:r>
      <w:r w:rsidR="00C0434D">
        <w:rPr>
          <w:rFonts w:ascii="Arial" w:hAnsi="Arial" w:cs="Arial"/>
          <w:sz w:val="20"/>
        </w:rPr>
        <w:t xml:space="preserve">&gt; </w:t>
      </w:r>
      <w:r w:rsidR="00F12D02">
        <w:rPr>
          <w:rFonts w:ascii="Arial" w:hAnsi="Arial" w:cs="Arial"/>
          <w:sz w:val="20"/>
        </w:rPr>
        <w:t>Synch Reserve Capability (23</w:t>
      </w:r>
      <w:r w:rsidR="005B06AC">
        <w:rPr>
          <w:rFonts w:ascii="Arial" w:hAnsi="Arial" w:cs="Arial"/>
          <w:sz w:val="20"/>
        </w:rPr>
        <w:t>6</w:t>
      </w:r>
      <w:r>
        <w:rPr>
          <w:rFonts w:ascii="Arial" w:hAnsi="Arial" w:cs="Arial"/>
          <w:sz w:val="20"/>
        </w:rPr>
        <w:t>0.21):</w:t>
      </w:r>
    </w:p>
    <w:p w:rsidR="00C0434D" w:rsidRDefault="00C0434D">
      <w:pPr>
        <w:ind w:left="432"/>
        <w:rPr>
          <w:rFonts w:ascii="Arial" w:hAnsi="Arial" w:cs="Arial"/>
          <w:sz w:val="20"/>
        </w:rPr>
      </w:pPr>
    </w:p>
    <w:p w:rsidR="00F12D02" w:rsidRDefault="00F12D02" w:rsidP="004B54BD">
      <w:pPr>
        <w:ind w:left="1152" w:firstLine="288"/>
        <w:rPr>
          <w:rFonts w:ascii="Arial" w:hAnsi="Arial" w:cs="Arial"/>
          <w:sz w:val="20"/>
        </w:rPr>
      </w:pPr>
      <w:r>
        <w:rPr>
          <w:rFonts w:ascii="Arial" w:hAnsi="Arial" w:cs="Arial"/>
          <w:sz w:val="20"/>
        </w:rPr>
        <w:t>Tier 1 Credit MWh (2360.23) = Synch Reserve Capability (2350.21) + Tier 1 Adjustment (2360.22)</w:t>
      </w:r>
    </w:p>
    <w:p w:rsidR="00C941D3" w:rsidRDefault="00C941D3" w:rsidP="004B54BD">
      <w:pPr>
        <w:ind w:left="1152" w:firstLine="288"/>
        <w:rPr>
          <w:rFonts w:ascii="Arial" w:hAnsi="Arial" w:cs="Arial"/>
          <w:sz w:val="20"/>
        </w:rPr>
      </w:pPr>
    </w:p>
    <w:p w:rsidR="00C0434D" w:rsidRDefault="00C0434D">
      <w:pPr>
        <w:ind w:left="432"/>
        <w:rPr>
          <w:rFonts w:ascii="Arial" w:hAnsi="Arial" w:cs="Arial"/>
          <w:sz w:val="20"/>
        </w:rPr>
      </w:pPr>
    </w:p>
    <w:p w:rsidR="00802A8C" w:rsidRPr="00F0398E" w:rsidRDefault="00025E23" w:rsidP="001E1E18">
      <w:pPr>
        <w:rPr>
          <w:rFonts w:ascii="Arial" w:hAnsi="Arial" w:cs="Arial"/>
          <w:sz w:val="20"/>
        </w:rPr>
      </w:pPr>
      <w:r>
        <w:rPr>
          <w:rFonts w:ascii="Arial" w:hAnsi="Arial" w:cs="Arial"/>
          <w:sz w:val="20"/>
        </w:rPr>
        <w:t xml:space="preserve">If the </w:t>
      </w:r>
      <w:r w:rsidRPr="00C0434D">
        <w:rPr>
          <w:rFonts w:ascii="Arial" w:hAnsi="Arial" w:cs="Arial"/>
          <w:sz w:val="20"/>
        </w:rPr>
        <w:t xml:space="preserve">Non-Synchronized </w:t>
      </w:r>
      <w:r w:rsidR="00E659B0">
        <w:rPr>
          <w:rFonts w:ascii="Arial" w:hAnsi="Arial" w:cs="Arial"/>
          <w:sz w:val="20"/>
        </w:rPr>
        <w:t xml:space="preserve">Reserve </w:t>
      </w:r>
      <w:r w:rsidRPr="00C0434D">
        <w:rPr>
          <w:rFonts w:ascii="Arial" w:hAnsi="Arial" w:cs="Arial"/>
          <w:sz w:val="20"/>
        </w:rPr>
        <w:t xml:space="preserve">Market Clearing Price is </w:t>
      </w:r>
      <w:r>
        <w:rPr>
          <w:rFonts w:ascii="Arial" w:hAnsi="Arial" w:cs="Arial"/>
          <w:sz w:val="20"/>
        </w:rPr>
        <w:t>non-</w:t>
      </w:r>
      <w:r w:rsidRPr="00C0434D">
        <w:rPr>
          <w:rFonts w:ascii="Arial" w:hAnsi="Arial" w:cs="Arial"/>
          <w:sz w:val="20"/>
        </w:rPr>
        <w:t xml:space="preserve">zero </w:t>
      </w:r>
      <w:r>
        <w:rPr>
          <w:rFonts w:ascii="Arial" w:hAnsi="Arial" w:cs="Arial"/>
          <w:sz w:val="20"/>
        </w:rPr>
        <w:t xml:space="preserve">and there is </w:t>
      </w:r>
      <w:r w:rsidRPr="00025E23">
        <w:rPr>
          <w:rFonts w:ascii="Arial" w:hAnsi="Arial" w:cs="Arial"/>
          <w:sz w:val="20"/>
        </w:rPr>
        <w:t>no synchronized reserve event in the appli</w:t>
      </w:r>
      <w:r w:rsidR="00802A8C">
        <w:rPr>
          <w:rFonts w:ascii="Arial" w:hAnsi="Arial" w:cs="Arial"/>
          <w:sz w:val="20"/>
        </w:rPr>
        <w:t>cable reserve zone or sub-zone, then</w:t>
      </w:r>
      <w:r w:rsidR="00365A61">
        <w:rPr>
          <w:rFonts w:ascii="Arial" w:hAnsi="Arial" w:cs="Arial"/>
          <w:sz w:val="20"/>
        </w:rPr>
        <w:t xml:space="preserve"> </w:t>
      </w:r>
      <w:r w:rsidR="00365A61" w:rsidRPr="00F0398E">
        <w:rPr>
          <w:rFonts w:ascii="Arial" w:hAnsi="Arial" w:cs="Arial"/>
          <w:sz w:val="20"/>
        </w:rPr>
        <w:t xml:space="preserve">the Tier 1 </w:t>
      </w:r>
      <w:r w:rsidR="00623D74" w:rsidRPr="00F0398E">
        <w:rPr>
          <w:rFonts w:ascii="Arial" w:hAnsi="Arial" w:cs="Arial"/>
          <w:sz w:val="20"/>
        </w:rPr>
        <w:t xml:space="preserve">Sync Reserve Response (2360.20), Synch Reserve Capability (2360.21), </w:t>
      </w:r>
      <w:r w:rsidR="00365A61" w:rsidRPr="00F0398E">
        <w:rPr>
          <w:rFonts w:ascii="Arial" w:hAnsi="Arial" w:cs="Arial"/>
          <w:sz w:val="20"/>
        </w:rPr>
        <w:t xml:space="preserve">and the Tier 1 Adjustment (2360.22) columns will display </w:t>
      </w:r>
      <w:r w:rsidR="00623D74" w:rsidRPr="00F0398E">
        <w:rPr>
          <w:rFonts w:ascii="Arial" w:hAnsi="Arial" w:cs="Arial"/>
          <w:sz w:val="20"/>
        </w:rPr>
        <w:t xml:space="preserve">nulls </w:t>
      </w:r>
      <w:r w:rsidR="00365A61" w:rsidRPr="00F0398E">
        <w:rPr>
          <w:rFonts w:ascii="Arial" w:hAnsi="Arial" w:cs="Arial"/>
          <w:sz w:val="20"/>
        </w:rPr>
        <w:t xml:space="preserve">and the Tier 1 Credit MWh (2360.23) will display the Tier 1 estimate MWh.  </w:t>
      </w:r>
    </w:p>
    <w:p w:rsidR="00802A8C" w:rsidRDefault="00802A8C">
      <w:pPr>
        <w:ind w:left="432"/>
        <w:rPr>
          <w:rFonts w:ascii="Arial" w:hAnsi="Arial" w:cs="Arial"/>
          <w:sz w:val="20"/>
        </w:rPr>
      </w:pPr>
    </w:p>
    <w:p w:rsidR="001E1E18" w:rsidRDefault="001E1E18" w:rsidP="001E1E18">
      <w:pPr>
        <w:ind w:left="1152" w:firstLine="288"/>
        <w:rPr>
          <w:rFonts w:ascii="Arial" w:hAnsi="Arial" w:cs="Arial"/>
          <w:sz w:val="20"/>
        </w:rPr>
      </w:pPr>
    </w:p>
    <w:p w:rsidR="00E659B0" w:rsidRPr="00623D74" w:rsidRDefault="00E659B0" w:rsidP="001E1E18">
      <w:pPr>
        <w:rPr>
          <w:rFonts w:ascii="Arial" w:hAnsi="Arial" w:cs="Arial"/>
          <w:color w:val="FF0000"/>
          <w:sz w:val="20"/>
        </w:rPr>
      </w:pPr>
      <w:r>
        <w:rPr>
          <w:rFonts w:ascii="Arial" w:hAnsi="Arial" w:cs="Arial"/>
          <w:sz w:val="20"/>
        </w:rPr>
        <w:lastRenderedPageBreak/>
        <w:t xml:space="preserve">If the </w:t>
      </w:r>
      <w:r w:rsidRPr="00C0434D">
        <w:rPr>
          <w:rFonts w:ascii="Arial" w:hAnsi="Arial" w:cs="Arial"/>
          <w:sz w:val="20"/>
        </w:rPr>
        <w:t xml:space="preserve">Non-Synchronized </w:t>
      </w:r>
      <w:r>
        <w:rPr>
          <w:rFonts w:ascii="Arial" w:hAnsi="Arial" w:cs="Arial"/>
          <w:sz w:val="20"/>
        </w:rPr>
        <w:t xml:space="preserve">Reserve </w:t>
      </w:r>
      <w:r w:rsidRPr="00C0434D">
        <w:rPr>
          <w:rFonts w:ascii="Arial" w:hAnsi="Arial" w:cs="Arial"/>
          <w:sz w:val="20"/>
        </w:rPr>
        <w:t xml:space="preserve">Market Clearing Price is </w:t>
      </w:r>
      <w:r>
        <w:rPr>
          <w:rFonts w:ascii="Arial" w:hAnsi="Arial" w:cs="Arial"/>
          <w:sz w:val="20"/>
        </w:rPr>
        <w:t>non-</w:t>
      </w:r>
      <w:r w:rsidRPr="00C0434D">
        <w:rPr>
          <w:rFonts w:ascii="Arial" w:hAnsi="Arial" w:cs="Arial"/>
          <w:sz w:val="20"/>
        </w:rPr>
        <w:t xml:space="preserve">zero </w:t>
      </w:r>
      <w:r>
        <w:rPr>
          <w:rFonts w:ascii="Arial" w:hAnsi="Arial" w:cs="Arial"/>
          <w:sz w:val="20"/>
        </w:rPr>
        <w:t>and there is a</w:t>
      </w:r>
      <w:r w:rsidRPr="00025E23">
        <w:rPr>
          <w:rFonts w:ascii="Arial" w:hAnsi="Arial" w:cs="Arial"/>
          <w:sz w:val="20"/>
        </w:rPr>
        <w:t xml:space="preserve"> synchronized reserve event in the appli</w:t>
      </w:r>
      <w:r>
        <w:rPr>
          <w:rFonts w:ascii="Arial" w:hAnsi="Arial" w:cs="Arial"/>
          <w:sz w:val="20"/>
        </w:rPr>
        <w:t>cable reserve zone or sub-zone, then:</w:t>
      </w:r>
      <w:r w:rsidR="00623D74">
        <w:rPr>
          <w:rFonts w:ascii="Arial" w:hAnsi="Arial" w:cs="Arial"/>
          <w:sz w:val="20"/>
        </w:rPr>
        <w:t xml:space="preserve">  </w:t>
      </w:r>
    </w:p>
    <w:p w:rsidR="00025E23" w:rsidRDefault="00025E23" w:rsidP="00025E23">
      <w:pPr>
        <w:ind w:left="432"/>
        <w:rPr>
          <w:rFonts w:ascii="Arial" w:hAnsi="Arial" w:cs="Arial"/>
          <w:sz w:val="20"/>
        </w:rPr>
      </w:pPr>
    </w:p>
    <w:p w:rsidR="001E1E18" w:rsidRDefault="00025E23" w:rsidP="00025E23">
      <w:pPr>
        <w:ind w:left="432"/>
        <w:rPr>
          <w:rFonts w:ascii="Arial" w:hAnsi="Arial" w:cs="Arial"/>
          <w:sz w:val="20"/>
        </w:rPr>
      </w:pPr>
      <w:r>
        <w:rPr>
          <w:rFonts w:ascii="Arial" w:hAnsi="Arial" w:cs="Arial"/>
          <w:sz w:val="20"/>
        </w:rPr>
        <w:t xml:space="preserve"> </w:t>
      </w:r>
      <w:r>
        <w:rPr>
          <w:rFonts w:ascii="Arial" w:hAnsi="Arial" w:cs="Arial"/>
          <w:sz w:val="20"/>
        </w:rPr>
        <w:tab/>
      </w:r>
    </w:p>
    <w:p w:rsidR="00025E23" w:rsidRDefault="00025E23" w:rsidP="001E1E18">
      <w:pPr>
        <w:ind w:left="1152" w:firstLine="288"/>
        <w:rPr>
          <w:rFonts w:ascii="Arial" w:hAnsi="Arial" w:cs="Arial"/>
          <w:sz w:val="20"/>
        </w:rPr>
      </w:pPr>
      <w:r>
        <w:rPr>
          <w:rFonts w:ascii="Arial" w:hAnsi="Arial" w:cs="Arial"/>
          <w:sz w:val="20"/>
        </w:rPr>
        <w:t xml:space="preserve">Tier 1 Credit MWh (2360.23) =  </w:t>
      </w:r>
      <w:r w:rsidR="00E659B0">
        <w:rPr>
          <w:rFonts w:ascii="Arial" w:hAnsi="Arial" w:cs="Arial"/>
          <w:sz w:val="20"/>
        </w:rPr>
        <w:t>Min(</w:t>
      </w:r>
      <w:r>
        <w:rPr>
          <w:rFonts w:ascii="Arial" w:hAnsi="Arial" w:cs="Arial"/>
          <w:sz w:val="20"/>
        </w:rPr>
        <w:t xml:space="preserve">Tier 1 Synch Reserve Response (2360.20) </w:t>
      </w:r>
      <w:r w:rsidR="00E659B0">
        <w:rPr>
          <w:rFonts w:ascii="Arial" w:hAnsi="Arial" w:cs="Arial"/>
          <w:sz w:val="20"/>
        </w:rPr>
        <w:t xml:space="preserve">, </w:t>
      </w:r>
      <w:r w:rsidR="001E1E18" w:rsidRPr="00025E23">
        <w:rPr>
          <w:rFonts w:ascii="Arial" w:hAnsi="Arial" w:cs="Arial"/>
          <w:sz w:val="20"/>
        </w:rPr>
        <w:t>Tier 1</w:t>
      </w:r>
      <w:r w:rsidR="001E1E18">
        <w:rPr>
          <w:rFonts w:ascii="Arial" w:hAnsi="Arial" w:cs="Arial"/>
          <w:sz w:val="20"/>
        </w:rPr>
        <w:t xml:space="preserve"> estimated amount)</w:t>
      </w:r>
    </w:p>
    <w:p w:rsidR="001E1E18" w:rsidRDefault="001E1E18" w:rsidP="001E1E18">
      <w:pPr>
        <w:ind w:left="1152" w:firstLine="288"/>
        <w:rPr>
          <w:rFonts w:ascii="Arial" w:hAnsi="Arial" w:cs="Arial"/>
          <w:sz w:val="20"/>
        </w:rPr>
      </w:pPr>
    </w:p>
    <w:p w:rsidR="001E1E18" w:rsidRDefault="001E1E18" w:rsidP="001E1E18">
      <w:pPr>
        <w:ind w:firstLine="288"/>
        <w:rPr>
          <w:rFonts w:ascii="Arial" w:hAnsi="Arial" w:cs="Arial"/>
          <w:sz w:val="20"/>
        </w:rPr>
      </w:pPr>
    </w:p>
    <w:p w:rsidR="001E1E18" w:rsidRDefault="001E1E18" w:rsidP="001E1E18">
      <w:pPr>
        <w:rPr>
          <w:rFonts w:ascii="Arial" w:hAnsi="Arial" w:cs="Arial"/>
          <w:sz w:val="20"/>
        </w:rPr>
      </w:pPr>
      <w:r>
        <w:rPr>
          <w:rFonts w:ascii="Arial" w:hAnsi="Arial" w:cs="Arial"/>
          <w:sz w:val="20"/>
        </w:rPr>
        <w:t>During the hours where the Non-</w:t>
      </w:r>
      <w:r w:rsidR="00656011">
        <w:rPr>
          <w:rFonts w:ascii="Arial" w:hAnsi="Arial" w:cs="Arial"/>
          <w:sz w:val="20"/>
        </w:rPr>
        <w:t>Synchronized</w:t>
      </w:r>
      <w:r>
        <w:rPr>
          <w:rFonts w:ascii="Arial" w:hAnsi="Arial" w:cs="Arial"/>
          <w:sz w:val="20"/>
        </w:rPr>
        <w:t xml:space="preserve"> Reserve Market Clearing Price is non-zero for the applicable reserve zone or subzone, then:</w:t>
      </w:r>
    </w:p>
    <w:p w:rsidR="001E1E18" w:rsidRDefault="001E1E18" w:rsidP="001E1E18">
      <w:pPr>
        <w:rPr>
          <w:rFonts w:ascii="Arial" w:hAnsi="Arial" w:cs="Arial"/>
          <w:sz w:val="20"/>
        </w:rPr>
      </w:pPr>
    </w:p>
    <w:p w:rsidR="001E1E18" w:rsidRDefault="001E1E18" w:rsidP="001E1E18">
      <w:pPr>
        <w:rPr>
          <w:rFonts w:ascii="Arial" w:hAnsi="Arial" w:cs="Arial"/>
          <w:sz w:val="20"/>
        </w:rPr>
      </w:pPr>
      <w:r>
        <w:rPr>
          <w:rFonts w:ascii="Arial" w:hAnsi="Arial" w:cs="Arial"/>
          <w:sz w:val="20"/>
        </w:rPr>
        <w:tab/>
      </w:r>
      <w:r>
        <w:rPr>
          <w:rFonts w:ascii="Arial" w:hAnsi="Arial" w:cs="Arial"/>
          <w:sz w:val="20"/>
        </w:rPr>
        <w:tab/>
      </w:r>
    </w:p>
    <w:p w:rsidR="001E1E18" w:rsidRDefault="001E1E18" w:rsidP="001E1E18">
      <w:pPr>
        <w:ind w:left="720" w:firstLine="720"/>
        <w:rPr>
          <w:rFonts w:ascii="Arial" w:hAnsi="Arial" w:cs="Arial"/>
          <w:sz w:val="20"/>
        </w:rPr>
      </w:pPr>
      <w:r w:rsidRPr="001E1E18">
        <w:rPr>
          <w:rFonts w:ascii="Arial" w:hAnsi="Arial" w:cs="Arial"/>
          <w:sz w:val="20"/>
        </w:rPr>
        <w:t xml:space="preserve">Tier 1 Premium Price </w:t>
      </w:r>
      <w:r>
        <w:rPr>
          <w:rFonts w:ascii="Arial" w:hAnsi="Arial" w:cs="Arial"/>
          <w:sz w:val="20"/>
        </w:rPr>
        <w:t>(</w:t>
      </w:r>
      <w:r w:rsidRPr="001E1E18">
        <w:rPr>
          <w:rFonts w:ascii="Arial" w:hAnsi="Arial" w:cs="Arial"/>
          <w:sz w:val="20"/>
        </w:rPr>
        <w:t>3000.64</w:t>
      </w:r>
      <w:r>
        <w:rPr>
          <w:rFonts w:ascii="Arial" w:hAnsi="Arial" w:cs="Arial"/>
          <w:sz w:val="20"/>
        </w:rPr>
        <w:t xml:space="preserve">) = </w:t>
      </w:r>
      <w:r w:rsidRPr="001E1E18">
        <w:rPr>
          <w:rFonts w:ascii="Arial" w:hAnsi="Arial" w:cs="Arial"/>
          <w:sz w:val="20"/>
        </w:rPr>
        <w:t>Synchronized Reserve Market Clearing Price</w:t>
      </w:r>
    </w:p>
    <w:p w:rsidR="001E1E18" w:rsidRDefault="001E1E18" w:rsidP="001E1E18">
      <w:pPr>
        <w:ind w:left="720" w:firstLine="720"/>
        <w:rPr>
          <w:rFonts w:ascii="Arial" w:hAnsi="Arial" w:cs="Arial"/>
          <w:sz w:val="20"/>
        </w:rPr>
      </w:pPr>
    </w:p>
    <w:p w:rsidR="001E1E18" w:rsidRDefault="005F6329" w:rsidP="001E1E18">
      <w:pPr>
        <w:ind w:left="1152" w:firstLine="288"/>
        <w:rPr>
          <w:rFonts w:ascii="Arial" w:hAnsi="Arial" w:cs="Arial"/>
          <w:sz w:val="20"/>
        </w:rPr>
      </w:pPr>
      <w:r w:rsidRPr="005F6329">
        <w:rPr>
          <w:rFonts w:ascii="Arial" w:hAnsi="Arial" w:cs="Arial"/>
          <w:sz w:val="20"/>
        </w:rPr>
        <w:t>RT Generator LMP (3000.25)</w:t>
      </w:r>
      <w:r>
        <w:rPr>
          <w:rFonts w:ascii="Arial" w:hAnsi="Arial" w:cs="Arial"/>
          <w:sz w:val="20"/>
        </w:rPr>
        <w:t xml:space="preserve"> = 0</w:t>
      </w:r>
    </w:p>
    <w:p w:rsidR="001E1E18" w:rsidRDefault="001E1E18" w:rsidP="001E1E18">
      <w:pPr>
        <w:ind w:firstLine="288"/>
        <w:rPr>
          <w:rFonts w:ascii="Arial" w:hAnsi="Arial" w:cs="Arial"/>
          <w:sz w:val="20"/>
        </w:rPr>
      </w:pPr>
    </w:p>
    <w:p w:rsidR="005F6329" w:rsidRDefault="005F6329" w:rsidP="005F6329">
      <w:pPr>
        <w:rPr>
          <w:rFonts w:ascii="Arial" w:hAnsi="Arial" w:cs="Arial"/>
          <w:sz w:val="20"/>
        </w:rPr>
      </w:pPr>
    </w:p>
    <w:p w:rsidR="00E659B0" w:rsidRDefault="00F12D02" w:rsidP="005F6329">
      <w:pPr>
        <w:rPr>
          <w:rFonts w:ascii="Arial" w:hAnsi="Arial" w:cs="Arial"/>
          <w:sz w:val="20"/>
        </w:rPr>
      </w:pPr>
      <w:r>
        <w:rPr>
          <w:rFonts w:ascii="Arial" w:hAnsi="Arial" w:cs="Arial"/>
          <w:sz w:val="20"/>
        </w:rPr>
        <w:t>Tier 1 Credits (2360.24) = Tier 1 Credit MWh (2360.23) * (Tier 1 Premium Price (3000.64</w:t>
      </w:r>
      <w:r w:rsidR="005F6329">
        <w:rPr>
          <w:rFonts w:ascii="Arial" w:hAnsi="Arial" w:cs="Arial"/>
          <w:sz w:val="20"/>
        </w:rPr>
        <w:t>) – RT Generator LMP (3000.25))</w:t>
      </w:r>
    </w:p>
    <w:p w:rsidR="002507B4" w:rsidRDefault="002507B4" w:rsidP="005F6329">
      <w:pPr>
        <w:rPr>
          <w:rFonts w:ascii="Arial" w:hAnsi="Arial" w:cs="Arial"/>
          <w:sz w:val="20"/>
        </w:rPr>
      </w:pPr>
    </w:p>
    <w:p w:rsidR="002507B4" w:rsidRPr="002507B4" w:rsidRDefault="002507B4" w:rsidP="005F6329">
      <w:pPr>
        <w:rPr>
          <w:rFonts w:ascii="Arial" w:hAnsi="Arial" w:cs="Arial"/>
          <w:b/>
          <w:sz w:val="20"/>
        </w:rPr>
      </w:pPr>
      <w:r w:rsidRPr="002507B4">
        <w:rPr>
          <w:rFonts w:ascii="Arial" w:hAnsi="Arial" w:cs="Arial"/>
          <w:b/>
          <w:sz w:val="20"/>
        </w:rPr>
        <w:t>For 5 Minute Settlements:</w:t>
      </w:r>
    </w:p>
    <w:p w:rsidR="002507B4" w:rsidRDefault="002507B4" w:rsidP="005F6329">
      <w:pPr>
        <w:rPr>
          <w:rFonts w:ascii="Arial" w:hAnsi="Arial" w:cs="Arial"/>
          <w:sz w:val="20"/>
        </w:rPr>
      </w:pPr>
    </w:p>
    <w:p w:rsidR="002507B4" w:rsidRDefault="002507B4" w:rsidP="002507B4">
      <w:pPr>
        <w:rPr>
          <w:rFonts w:ascii="Arial" w:hAnsi="Arial" w:cs="Arial"/>
          <w:sz w:val="20"/>
        </w:rPr>
      </w:pPr>
      <w:r>
        <w:rPr>
          <w:rFonts w:ascii="Arial" w:hAnsi="Arial" w:cs="Arial"/>
          <w:sz w:val="20"/>
        </w:rPr>
        <w:t xml:space="preserve">If the </w:t>
      </w:r>
      <w:r w:rsidRPr="00C0434D">
        <w:rPr>
          <w:rFonts w:ascii="Arial" w:hAnsi="Arial" w:cs="Arial"/>
          <w:sz w:val="20"/>
        </w:rPr>
        <w:t xml:space="preserve">Non-Synchronized </w:t>
      </w:r>
      <w:r>
        <w:rPr>
          <w:rFonts w:ascii="Arial" w:hAnsi="Arial" w:cs="Arial"/>
          <w:sz w:val="20"/>
        </w:rPr>
        <w:t xml:space="preserve">Reserve </w:t>
      </w:r>
      <w:r w:rsidRPr="00C0434D">
        <w:rPr>
          <w:rFonts w:ascii="Arial" w:hAnsi="Arial" w:cs="Arial"/>
          <w:sz w:val="20"/>
        </w:rPr>
        <w:t xml:space="preserve">Market Clearing Price is zero </w:t>
      </w:r>
      <w:r>
        <w:rPr>
          <w:rFonts w:ascii="Arial" w:hAnsi="Arial" w:cs="Arial"/>
          <w:sz w:val="20"/>
        </w:rPr>
        <w:t>and there is a synchronized reserve event in the applicable reserve zone or sub-zone then:</w:t>
      </w:r>
    </w:p>
    <w:p w:rsidR="002507B4" w:rsidRDefault="002507B4" w:rsidP="002507B4">
      <w:pPr>
        <w:ind w:left="432"/>
        <w:rPr>
          <w:rFonts w:ascii="Arial" w:hAnsi="Arial" w:cs="Arial"/>
          <w:sz w:val="20"/>
        </w:rPr>
      </w:pPr>
    </w:p>
    <w:p w:rsidR="002507B4" w:rsidRDefault="002507B4" w:rsidP="002507B4">
      <w:pPr>
        <w:ind w:left="432" w:firstLine="288"/>
        <w:rPr>
          <w:rFonts w:ascii="Arial" w:hAnsi="Arial" w:cs="Arial"/>
          <w:sz w:val="20"/>
        </w:rPr>
      </w:pPr>
    </w:p>
    <w:p w:rsidR="002507B4" w:rsidRDefault="002507B4" w:rsidP="002507B4">
      <w:pPr>
        <w:ind w:left="432" w:firstLine="288"/>
        <w:rPr>
          <w:rFonts w:ascii="Arial" w:hAnsi="Arial" w:cs="Arial"/>
          <w:sz w:val="20"/>
        </w:rPr>
      </w:pPr>
      <w:r>
        <w:rPr>
          <w:rFonts w:ascii="Arial" w:hAnsi="Arial" w:cs="Arial"/>
          <w:sz w:val="20"/>
        </w:rPr>
        <w:t>If Tier 1 Synch Reserve Response (2360.20) is &lt;= Synch Reserve Capability (2360.21):</w:t>
      </w:r>
    </w:p>
    <w:p w:rsidR="002507B4" w:rsidRDefault="002507B4" w:rsidP="002507B4">
      <w:pPr>
        <w:ind w:left="432"/>
        <w:rPr>
          <w:rFonts w:ascii="Arial" w:hAnsi="Arial" w:cs="Arial"/>
          <w:sz w:val="20"/>
        </w:rPr>
      </w:pPr>
    </w:p>
    <w:p w:rsidR="002507B4" w:rsidRDefault="002507B4" w:rsidP="002507B4">
      <w:pPr>
        <w:ind w:left="432"/>
        <w:rPr>
          <w:rFonts w:ascii="Arial" w:hAnsi="Arial" w:cs="Arial"/>
          <w:sz w:val="20"/>
        </w:rPr>
      </w:pPr>
      <w:r>
        <w:rPr>
          <w:rFonts w:ascii="Arial" w:hAnsi="Arial" w:cs="Arial"/>
          <w:sz w:val="20"/>
        </w:rPr>
        <w:t xml:space="preserve"> </w:t>
      </w:r>
      <w:r>
        <w:rPr>
          <w:rFonts w:ascii="Arial" w:hAnsi="Arial" w:cs="Arial"/>
          <w:sz w:val="20"/>
        </w:rPr>
        <w:tab/>
      </w:r>
      <w:r>
        <w:rPr>
          <w:rFonts w:ascii="Arial" w:hAnsi="Arial" w:cs="Arial"/>
          <w:sz w:val="20"/>
        </w:rPr>
        <w:tab/>
        <w:t>Tier 1 Credit MWh (2360.23) =  Tier 1 Synch Reserve Response (2360.20) + Tier 1 Adjustment (2360.22)</w:t>
      </w:r>
    </w:p>
    <w:p w:rsidR="002507B4" w:rsidRDefault="002507B4" w:rsidP="002507B4">
      <w:pPr>
        <w:ind w:left="432"/>
        <w:rPr>
          <w:rFonts w:ascii="Arial" w:hAnsi="Arial" w:cs="Arial"/>
          <w:sz w:val="20"/>
        </w:rPr>
      </w:pPr>
    </w:p>
    <w:p w:rsidR="002507B4" w:rsidRDefault="002507B4" w:rsidP="002507B4">
      <w:pPr>
        <w:ind w:left="432"/>
        <w:rPr>
          <w:rFonts w:ascii="Arial" w:hAnsi="Arial" w:cs="Arial"/>
          <w:sz w:val="20"/>
        </w:rPr>
      </w:pPr>
    </w:p>
    <w:p w:rsidR="002507B4" w:rsidRDefault="002507B4" w:rsidP="002507B4">
      <w:pPr>
        <w:ind w:left="432" w:firstLine="288"/>
        <w:rPr>
          <w:rFonts w:ascii="Arial" w:hAnsi="Arial" w:cs="Arial"/>
          <w:sz w:val="20"/>
        </w:rPr>
      </w:pPr>
      <w:r>
        <w:rPr>
          <w:rFonts w:ascii="Arial" w:hAnsi="Arial" w:cs="Arial"/>
          <w:sz w:val="20"/>
        </w:rPr>
        <w:t>If Tier 1 Synch Reserve Response (2360.20) is &gt; Synch Reserve Capability (2360.21):</w:t>
      </w:r>
    </w:p>
    <w:p w:rsidR="002507B4" w:rsidRDefault="002507B4" w:rsidP="002507B4">
      <w:pPr>
        <w:ind w:left="432"/>
        <w:rPr>
          <w:rFonts w:ascii="Arial" w:hAnsi="Arial" w:cs="Arial"/>
          <w:sz w:val="20"/>
        </w:rPr>
      </w:pPr>
    </w:p>
    <w:p w:rsidR="002507B4" w:rsidRDefault="002507B4" w:rsidP="002507B4">
      <w:pPr>
        <w:ind w:left="1152" w:firstLine="288"/>
        <w:rPr>
          <w:rFonts w:ascii="Arial" w:hAnsi="Arial" w:cs="Arial"/>
          <w:sz w:val="20"/>
        </w:rPr>
      </w:pPr>
      <w:r>
        <w:rPr>
          <w:rFonts w:ascii="Arial" w:hAnsi="Arial" w:cs="Arial"/>
          <w:sz w:val="20"/>
        </w:rPr>
        <w:t>Tier 1 Credit MWh (2360.23) = Synch Reserve Capability (2350.21) + Tier 1 Adjustment (2360.22)</w:t>
      </w:r>
    </w:p>
    <w:p w:rsidR="002507B4" w:rsidRDefault="002507B4" w:rsidP="002507B4">
      <w:pPr>
        <w:ind w:left="1152" w:firstLine="288"/>
        <w:rPr>
          <w:rFonts w:ascii="Arial" w:hAnsi="Arial" w:cs="Arial"/>
          <w:sz w:val="20"/>
        </w:rPr>
      </w:pPr>
    </w:p>
    <w:p w:rsidR="002507B4" w:rsidRDefault="002507B4" w:rsidP="002507B4">
      <w:pPr>
        <w:ind w:left="432"/>
        <w:rPr>
          <w:rFonts w:ascii="Arial" w:hAnsi="Arial" w:cs="Arial"/>
          <w:sz w:val="20"/>
        </w:rPr>
      </w:pPr>
    </w:p>
    <w:p w:rsidR="002507B4" w:rsidRPr="00F0398E" w:rsidRDefault="002507B4" w:rsidP="002507B4">
      <w:pPr>
        <w:rPr>
          <w:rFonts w:ascii="Arial" w:hAnsi="Arial" w:cs="Arial"/>
          <w:sz w:val="20"/>
        </w:rPr>
      </w:pPr>
      <w:r>
        <w:rPr>
          <w:rFonts w:ascii="Arial" w:hAnsi="Arial" w:cs="Arial"/>
          <w:sz w:val="20"/>
        </w:rPr>
        <w:t xml:space="preserve">If the </w:t>
      </w:r>
      <w:r w:rsidRPr="00C0434D">
        <w:rPr>
          <w:rFonts w:ascii="Arial" w:hAnsi="Arial" w:cs="Arial"/>
          <w:sz w:val="20"/>
        </w:rPr>
        <w:t xml:space="preserve">Non-Synchronized </w:t>
      </w:r>
      <w:r>
        <w:rPr>
          <w:rFonts w:ascii="Arial" w:hAnsi="Arial" w:cs="Arial"/>
          <w:sz w:val="20"/>
        </w:rPr>
        <w:t xml:space="preserve">Reserve </w:t>
      </w:r>
      <w:r w:rsidRPr="00C0434D">
        <w:rPr>
          <w:rFonts w:ascii="Arial" w:hAnsi="Arial" w:cs="Arial"/>
          <w:sz w:val="20"/>
        </w:rPr>
        <w:t xml:space="preserve">Market Clearing Price is </w:t>
      </w:r>
      <w:r>
        <w:rPr>
          <w:rFonts w:ascii="Arial" w:hAnsi="Arial" w:cs="Arial"/>
          <w:sz w:val="20"/>
        </w:rPr>
        <w:t>non-</w:t>
      </w:r>
      <w:r w:rsidRPr="00C0434D">
        <w:rPr>
          <w:rFonts w:ascii="Arial" w:hAnsi="Arial" w:cs="Arial"/>
          <w:sz w:val="20"/>
        </w:rPr>
        <w:t xml:space="preserve">zero </w:t>
      </w:r>
      <w:r>
        <w:rPr>
          <w:rFonts w:ascii="Arial" w:hAnsi="Arial" w:cs="Arial"/>
          <w:sz w:val="20"/>
        </w:rPr>
        <w:t xml:space="preserve">and there is </w:t>
      </w:r>
      <w:r w:rsidRPr="00025E23">
        <w:rPr>
          <w:rFonts w:ascii="Arial" w:hAnsi="Arial" w:cs="Arial"/>
          <w:sz w:val="20"/>
        </w:rPr>
        <w:t>no synchronized reserve event in the appli</w:t>
      </w:r>
      <w:r>
        <w:rPr>
          <w:rFonts w:ascii="Arial" w:hAnsi="Arial" w:cs="Arial"/>
          <w:sz w:val="20"/>
        </w:rPr>
        <w:t xml:space="preserve">cable reserve zone or sub-zone, then </w:t>
      </w:r>
      <w:r w:rsidRPr="00F0398E">
        <w:rPr>
          <w:rFonts w:ascii="Arial" w:hAnsi="Arial" w:cs="Arial"/>
          <w:sz w:val="20"/>
        </w:rPr>
        <w:t xml:space="preserve">the Tier 1 Sync Reserve Response (2360.20), Synch Reserve Capability (2360.21), and the Tier 1 Adjustment (2360.22) columns will display nulls and the Tier 1 Credit MWh (2360.23) will display the Tier 1 estimate MWh.  </w:t>
      </w:r>
    </w:p>
    <w:p w:rsidR="002507B4" w:rsidRDefault="002507B4" w:rsidP="002507B4">
      <w:pPr>
        <w:ind w:left="432"/>
        <w:rPr>
          <w:rFonts w:ascii="Arial" w:hAnsi="Arial" w:cs="Arial"/>
          <w:sz w:val="20"/>
        </w:rPr>
      </w:pPr>
    </w:p>
    <w:p w:rsidR="002507B4" w:rsidRDefault="002507B4" w:rsidP="002507B4">
      <w:pPr>
        <w:ind w:left="1152" w:firstLine="288"/>
        <w:rPr>
          <w:rFonts w:ascii="Arial" w:hAnsi="Arial" w:cs="Arial"/>
          <w:sz w:val="20"/>
        </w:rPr>
      </w:pPr>
    </w:p>
    <w:p w:rsidR="002507B4" w:rsidRPr="00623D74" w:rsidRDefault="002507B4" w:rsidP="002507B4">
      <w:pPr>
        <w:rPr>
          <w:rFonts w:ascii="Arial" w:hAnsi="Arial" w:cs="Arial"/>
          <w:color w:val="FF0000"/>
          <w:sz w:val="20"/>
        </w:rPr>
      </w:pPr>
      <w:r>
        <w:rPr>
          <w:rFonts w:ascii="Arial" w:hAnsi="Arial" w:cs="Arial"/>
          <w:sz w:val="20"/>
        </w:rPr>
        <w:t xml:space="preserve">If the </w:t>
      </w:r>
      <w:r w:rsidRPr="00C0434D">
        <w:rPr>
          <w:rFonts w:ascii="Arial" w:hAnsi="Arial" w:cs="Arial"/>
          <w:sz w:val="20"/>
        </w:rPr>
        <w:t xml:space="preserve">Non-Synchronized </w:t>
      </w:r>
      <w:r>
        <w:rPr>
          <w:rFonts w:ascii="Arial" w:hAnsi="Arial" w:cs="Arial"/>
          <w:sz w:val="20"/>
        </w:rPr>
        <w:t xml:space="preserve">Reserve </w:t>
      </w:r>
      <w:r w:rsidRPr="00C0434D">
        <w:rPr>
          <w:rFonts w:ascii="Arial" w:hAnsi="Arial" w:cs="Arial"/>
          <w:sz w:val="20"/>
        </w:rPr>
        <w:t xml:space="preserve">Market Clearing Price is </w:t>
      </w:r>
      <w:r>
        <w:rPr>
          <w:rFonts w:ascii="Arial" w:hAnsi="Arial" w:cs="Arial"/>
          <w:sz w:val="20"/>
        </w:rPr>
        <w:t>non-</w:t>
      </w:r>
      <w:r w:rsidRPr="00C0434D">
        <w:rPr>
          <w:rFonts w:ascii="Arial" w:hAnsi="Arial" w:cs="Arial"/>
          <w:sz w:val="20"/>
        </w:rPr>
        <w:t xml:space="preserve">zero </w:t>
      </w:r>
      <w:r>
        <w:rPr>
          <w:rFonts w:ascii="Arial" w:hAnsi="Arial" w:cs="Arial"/>
          <w:sz w:val="20"/>
        </w:rPr>
        <w:t>and there is a</w:t>
      </w:r>
      <w:r w:rsidRPr="00025E23">
        <w:rPr>
          <w:rFonts w:ascii="Arial" w:hAnsi="Arial" w:cs="Arial"/>
          <w:sz w:val="20"/>
        </w:rPr>
        <w:t xml:space="preserve"> synchronized reserve event in the appli</w:t>
      </w:r>
      <w:r>
        <w:rPr>
          <w:rFonts w:ascii="Arial" w:hAnsi="Arial" w:cs="Arial"/>
          <w:sz w:val="20"/>
        </w:rPr>
        <w:t xml:space="preserve">cable reserve zone or sub-zone, then:  </w:t>
      </w:r>
    </w:p>
    <w:p w:rsidR="002507B4" w:rsidRDefault="002507B4" w:rsidP="002507B4">
      <w:pPr>
        <w:ind w:left="432"/>
        <w:rPr>
          <w:rFonts w:ascii="Arial" w:hAnsi="Arial" w:cs="Arial"/>
          <w:sz w:val="20"/>
        </w:rPr>
      </w:pPr>
    </w:p>
    <w:p w:rsidR="002507B4" w:rsidRDefault="002507B4" w:rsidP="002507B4">
      <w:pPr>
        <w:ind w:left="432"/>
        <w:rPr>
          <w:rFonts w:ascii="Arial" w:hAnsi="Arial" w:cs="Arial"/>
          <w:sz w:val="20"/>
        </w:rPr>
      </w:pPr>
      <w:r>
        <w:rPr>
          <w:rFonts w:ascii="Arial" w:hAnsi="Arial" w:cs="Arial"/>
          <w:sz w:val="20"/>
        </w:rPr>
        <w:t xml:space="preserve"> </w:t>
      </w:r>
      <w:r>
        <w:rPr>
          <w:rFonts w:ascii="Arial" w:hAnsi="Arial" w:cs="Arial"/>
          <w:sz w:val="20"/>
        </w:rPr>
        <w:tab/>
      </w:r>
    </w:p>
    <w:p w:rsidR="002507B4" w:rsidRDefault="002507B4" w:rsidP="002507B4">
      <w:pPr>
        <w:ind w:left="1152" w:firstLine="288"/>
        <w:rPr>
          <w:rFonts w:ascii="Arial" w:hAnsi="Arial" w:cs="Arial"/>
          <w:sz w:val="20"/>
        </w:rPr>
      </w:pPr>
      <w:r>
        <w:rPr>
          <w:rFonts w:ascii="Arial" w:hAnsi="Arial" w:cs="Arial"/>
          <w:sz w:val="20"/>
        </w:rPr>
        <w:t xml:space="preserve">Tier 1 Credit MWh (2360.23) =  Min(Tier 1 Synch Reserve Response (2360.20) , </w:t>
      </w:r>
      <w:r w:rsidRPr="00025E23">
        <w:rPr>
          <w:rFonts w:ascii="Arial" w:hAnsi="Arial" w:cs="Arial"/>
          <w:sz w:val="20"/>
        </w:rPr>
        <w:t>Tier 1</w:t>
      </w:r>
      <w:r>
        <w:rPr>
          <w:rFonts w:ascii="Arial" w:hAnsi="Arial" w:cs="Arial"/>
          <w:sz w:val="20"/>
        </w:rPr>
        <w:t xml:space="preserve"> estimated amount)</w:t>
      </w:r>
    </w:p>
    <w:p w:rsidR="002507B4" w:rsidRDefault="002507B4" w:rsidP="002507B4">
      <w:pPr>
        <w:ind w:left="1152" w:firstLine="288"/>
        <w:rPr>
          <w:rFonts w:ascii="Arial" w:hAnsi="Arial" w:cs="Arial"/>
          <w:sz w:val="20"/>
        </w:rPr>
      </w:pPr>
    </w:p>
    <w:p w:rsidR="002507B4" w:rsidRDefault="002507B4" w:rsidP="002507B4">
      <w:pPr>
        <w:ind w:firstLine="288"/>
        <w:rPr>
          <w:rFonts w:ascii="Arial" w:hAnsi="Arial" w:cs="Arial"/>
          <w:sz w:val="20"/>
        </w:rPr>
      </w:pPr>
    </w:p>
    <w:p w:rsidR="002507B4" w:rsidRDefault="002507B4" w:rsidP="002507B4">
      <w:pPr>
        <w:rPr>
          <w:rFonts w:ascii="Arial" w:hAnsi="Arial" w:cs="Arial"/>
          <w:sz w:val="20"/>
        </w:rPr>
      </w:pPr>
      <w:r>
        <w:rPr>
          <w:rFonts w:ascii="Arial" w:hAnsi="Arial" w:cs="Arial"/>
          <w:sz w:val="20"/>
        </w:rPr>
        <w:t>During the Real-time Settlement Intervals where the Non-Synchronized Reserve Market Clearing Price is non-zero for the applicable reserve zone or subzone, then:</w:t>
      </w:r>
    </w:p>
    <w:p w:rsidR="002507B4" w:rsidRDefault="002507B4" w:rsidP="002507B4">
      <w:pPr>
        <w:rPr>
          <w:rFonts w:ascii="Arial" w:hAnsi="Arial" w:cs="Arial"/>
          <w:sz w:val="20"/>
        </w:rPr>
      </w:pPr>
    </w:p>
    <w:p w:rsidR="002507B4" w:rsidRDefault="002507B4" w:rsidP="002507B4">
      <w:pPr>
        <w:rPr>
          <w:rFonts w:ascii="Arial" w:hAnsi="Arial" w:cs="Arial"/>
          <w:sz w:val="20"/>
        </w:rPr>
      </w:pPr>
      <w:r>
        <w:rPr>
          <w:rFonts w:ascii="Arial" w:hAnsi="Arial" w:cs="Arial"/>
          <w:sz w:val="20"/>
        </w:rPr>
        <w:tab/>
      </w:r>
      <w:r>
        <w:rPr>
          <w:rFonts w:ascii="Arial" w:hAnsi="Arial" w:cs="Arial"/>
          <w:sz w:val="20"/>
        </w:rPr>
        <w:tab/>
      </w:r>
    </w:p>
    <w:p w:rsidR="002507B4" w:rsidRDefault="002507B4" w:rsidP="002507B4">
      <w:pPr>
        <w:ind w:left="720" w:firstLine="720"/>
        <w:rPr>
          <w:rFonts w:ascii="Arial" w:hAnsi="Arial" w:cs="Arial"/>
          <w:sz w:val="20"/>
        </w:rPr>
      </w:pPr>
      <w:r w:rsidRPr="001E1E18">
        <w:rPr>
          <w:rFonts w:ascii="Arial" w:hAnsi="Arial" w:cs="Arial"/>
          <w:sz w:val="20"/>
        </w:rPr>
        <w:t xml:space="preserve">Tier 1 Premium Price </w:t>
      </w:r>
      <w:r>
        <w:rPr>
          <w:rFonts w:ascii="Arial" w:hAnsi="Arial" w:cs="Arial"/>
          <w:sz w:val="20"/>
        </w:rPr>
        <w:t>(</w:t>
      </w:r>
      <w:r w:rsidRPr="001E1E18">
        <w:rPr>
          <w:rFonts w:ascii="Arial" w:hAnsi="Arial" w:cs="Arial"/>
          <w:sz w:val="20"/>
        </w:rPr>
        <w:t>3000.64</w:t>
      </w:r>
      <w:r>
        <w:rPr>
          <w:rFonts w:ascii="Arial" w:hAnsi="Arial" w:cs="Arial"/>
          <w:sz w:val="20"/>
        </w:rPr>
        <w:t xml:space="preserve">) = </w:t>
      </w:r>
      <w:r w:rsidRPr="001E1E18">
        <w:rPr>
          <w:rFonts w:ascii="Arial" w:hAnsi="Arial" w:cs="Arial"/>
          <w:sz w:val="20"/>
        </w:rPr>
        <w:t>Synchronized Reserve Market Clearing Price</w:t>
      </w:r>
    </w:p>
    <w:p w:rsidR="002507B4" w:rsidRDefault="002507B4" w:rsidP="005751A9">
      <w:pPr>
        <w:rPr>
          <w:rFonts w:ascii="Arial" w:hAnsi="Arial" w:cs="Arial"/>
          <w:sz w:val="20"/>
        </w:rPr>
      </w:pPr>
    </w:p>
    <w:p w:rsidR="002507B4" w:rsidRDefault="002507B4" w:rsidP="002507B4">
      <w:pPr>
        <w:rPr>
          <w:rFonts w:ascii="Arial" w:hAnsi="Arial" w:cs="Arial"/>
          <w:sz w:val="20"/>
        </w:rPr>
      </w:pPr>
    </w:p>
    <w:p w:rsidR="002507B4" w:rsidRDefault="002507B4" w:rsidP="002507B4">
      <w:pPr>
        <w:rPr>
          <w:rFonts w:ascii="Arial" w:hAnsi="Arial" w:cs="Arial"/>
          <w:sz w:val="20"/>
        </w:rPr>
      </w:pPr>
      <w:r>
        <w:rPr>
          <w:rFonts w:ascii="Arial" w:hAnsi="Arial" w:cs="Arial"/>
          <w:sz w:val="20"/>
        </w:rPr>
        <w:t xml:space="preserve">Tier 1 Credits = Tier 1 Credit </w:t>
      </w:r>
      <w:r w:rsidR="004F50FD">
        <w:rPr>
          <w:rFonts w:ascii="Arial" w:hAnsi="Arial" w:cs="Arial"/>
          <w:sz w:val="20"/>
        </w:rPr>
        <w:t>MW</w:t>
      </w:r>
      <w:r>
        <w:rPr>
          <w:rFonts w:ascii="Arial" w:hAnsi="Arial" w:cs="Arial"/>
          <w:sz w:val="20"/>
        </w:rPr>
        <w:t xml:space="preserve"> * (Tier 1 Premium Price</w:t>
      </w:r>
      <w:r w:rsidR="000E4B93">
        <w:rPr>
          <w:rFonts w:ascii="Arial" w:hAnsi="Arial" w:cs="Arial"/>
          <w:sz w:val="20"/>
        </w:rPr>
        <w:t>/12</w:t>
      </w:r>
      <w:r>
        <w:rPr>
          <w:rFonts w:ascii="Arial" w:hAnsi="Arial" w:cs="Arial"/>
          <w:sz w:val="20"/>
        </w:rPr>
        <w:t>)</w:t>
      </w:r>
    </w:p>
    <w:p w:rsidR="002507B4" w:rsidRDefault="002507B4" w:rsidP="002507B4">
      <w:pPr>
        <w:rPr>
          <w:rFonts w:ascii="Arial" w:hAnsi="Arial" w:cs="Arial"/>
          <w:sz w:val="20"/>
        </w:rPr>
      </w:pPr>
    </w:p>
    <w:p w:rsidR="002507B4" w:rsidRDefault="002507B4" w:rsidP="002507B4">
      <w:pPr>
        <w:rPr>
          <w:rFonts w:ascii="Arial" w:hAnsi="Arial" w:cs="Arial"/>
          <w:sz w:val="20"/>
        </w:rPr>
      </w:pPr>
      <w:r>
        <w:rPr>
          <w:rFonts w:ascii="Arial" w:hAnsi="Arial" w:cs="Arial"/>
          <w:sz w:val="20"/>
        </w:rPr>
        <w:t>2360.24 = 2360.23 * (3000.64</w:t>
      </w:r>
      <w:r w:rsidR="000E4B93">
        <w:rPr>
          <w:rFonts w:ascii="Arial" w:hAnsi="Arial" w:cs="Arial"/>
          <w:sz w:val="20"/>
        </w:rPr>
        <w:t>/12</w:t>
      </w:r>
      <w:r>
        <w:rPr>
          <w:rFonts w:ascii="Arial" w:hAnsi="Arial" w:cs="Arial"/>
          <w:sz w:val="20"/>
        </w:rPr>
        <w:t>)</w:t>
      </w:r>
    </w:p>
    <w:p w:rsidR="002507B4" w:rsidRDefault="002507B4" w:rsidP="005F6329">
      <w:pPr>
        <w:rPr>
          <w:rFonts w:ascii="Arial" w:hAnsi="Arial" w:cs="Arial"/>
          <w:sz w:val="20"/>
        </w:rPr>
      </w:pPr>
    </w:p>
    <w:sectPr w:rsidR="002507B4">
      <w:headerReference w:type="default" r:id="rId10"/>
      <w:footerReference w:type="default" r:id="rId11"/>
      <w:footerReference w:type="first" r:id="rId12"/>
      <w:pgSz w:w="15840" w:h="12240" w:orient="landscape"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7A1" w:rsidRDefault="00F107A1">
      <w:r>
        <w:separator/>
      </w:r>
    </w:p>
  </w:endnote>
  <w:endnote w:type="continuationSeparator" w:id="0">
    <w:p w:rsidR="00F107A1" w:rsidRDefault="00F1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02" w:rsidRDefault="00F12D02">
    <w:pPr>
      <w:pStyle w:val="Footer"/>
      <w:jc w:val="center"/>
      <w:rPr>
        <w:rStyle w:val="PageNumber"/>
      </w:rPr>
    </w:pPr>
  </w:p>
  <w:p w:rsidR="00F12D02" w:rsidRDefault="00F12D02">
    <w:pPr>
      <w:pStyle w:val="Footer"/>
    </w:pPr>
    <w:r>
      <w:rPr>
        <w:rFonts w:ascii="Arial" w:hAnsi="Arial"/>
        <w:sz w:val="20"/>
        <w:szCs w:val="20"/>
      </w:rPr>
      <w:t>PJM ©20</w:t>
    </w:r>
    <w:r w:rsidR="00DA2F1D">
      <w:rPr>
        <w:rFonts w:ascii="Arial" w:hAnsi="Arial"/>
        <w:sz w:val="20"/>
        <w:szCs w:val="20"/>
      </w:rPr>
      <w:t>20</w:t>
    </w:r>
    <w:r>
      <w:tab/>
    </w:r>
    <w:r>
      <w:tab/>
    </w:r>
    <w:r>
      <w:tab/>
    </w:r>
    <w:r>
      <w:tab/>
    </w:r>
    <w:r>
      <w:tab/>
    </w:r>
    <w:r>
      <w:tab/>
    </w:r>
    <w:r>
      <w:rPr>
        <w:rStyle w:val="PageNumber"/>
        <w:rFonts w:ascii="Arial" w:hAnsi="Arial"/>
        <w:sz w:val="20"/>
        <w:szCs w:val="20"/>
      </w:rPr>
      <w:t xml:space="preserve"> Page </w:t>
    </w:r>
    <w:r>
      <w:rPr>
        <w:rStyle w:val="PageNumber"/>
        <w:rFonts w:ascii="Arial" w:hAnsi="Arial"/>
        <w:sz w:val="20"/>
        <w:szCs w:val="20"/>
      </w:rPr>
      <w:fldChar w:fldCharType="begin"/>
    </w:r>
    <w:r>
      <w:rPr>
        <w:rStyle w:val="PageNumber"/>
        <w:rFonts w:ascii="Arial" w:hAnsi="Arial"/>
        <w:sz w:val="20"/>
        <w:szCs w:val="20"/>
      </w:rPr>
      <w:instrText xml:space="preserve"> PAGE </w:instrText>
    </w:r>
    <w:r>
      <w:rPr>
        <w:rStyle w:val="PageNumber"/>
        <w:rFonts w:ascii="Arial" w:hAnsi="Arial"/>
        <w:sz w:val="20"/>
        <w:szCs w:val="20"/>
      </w:rPr>
      <w:fldChar w:fldCharType="separate"/>
    </w:r>
    <w:r w:rsidR="00DA2F1D">
      <w:rPr>
        <w:rStyle w:val="PageNumber"/>
        <w:rFonts w:ascii="Arial" w:hAnsi="Arial"/>
        <w:noProof/>
        <w:sz w:val="20"/>
        <w:szCs w:val="20"/>
      </w:rPr>
      <w:t>2</w:t>
    </w:r>
    <w:r>
      <w:rPr>
        <w:rStyle w:val="PageNumber"/>
        <w:rFonts w:ascii="Arial" w:hAnsi="Arial"/>
        <w:sz w:val="20"/>
        <w:szCs w:val="20"/>
      </w:rPr>
      <w:fldChar w:fldCharType="end"/>
    </w:r>
    <w:r>
      <w:rPr>
        <w:rStyle w:val="PageNumber"/>
        <w:rFonts w:ascii="Arial" w:hAnsi="Arial"/>
        <w:sz w:val="20"/>
        <w:szCs w:val="20"/>
      </w:rPr>
      <w:t xml:space="preserve"> of </w:t>
    </w:r>
    <w:r>
      <w:rPr>
        <w:rStyle w:val="PageNumber"/>
        <w:rFonts w:ascii="Arial" w:hAnsi="Arial"/>
        <w:sz w:val="20"/>
        <w:szCs w:val="20"/>
      </w:rPr>
      <w:fldChar w:fldCharType="begin"/>
    </w:r>
    <w:r>
      <w:rPr>
        <w:rStyle w:val="PageNumber"/>
        <w:rFonts w:ascii="Arial" w:hAnsi="Arial"/>
        <w:sz w:val="20"/>
        <w:szCs w:val="20"/>
      </w:rPr>
      <w:instrText xml:space="preserve"> NUMPAGES </w:instrText>
    </w:r>
    <w:r>
      <w:rPr>
        <w:rStyle w:val="PageNumber"/>
        <w:rFonts w:ascii="Arial" w:hAnsi="Arial"/>
        <w:sz w:val="20"/>
        <w:szCs w:val="20"/>
      </w:rPr>
      <w:fldChar w:fldCharType="separate"/>
    </w:r>
    <w:r w:rsidR="00DA2F1D">
      <w:rPr>
        <w:rStyle w:val="PageNumber"/>
        <w:rFonts w:ascii="Arial" w:hAnsi="Arial"/>
        <w:noProof/>
        <w:sz w:val="20"/>
        <w:szCs w:val="20"/>
      </w:rPr>
      <w:t>8</w:t>
    </w:r>
    <w:r>
      <w:rPr>
        <w:rStyle w:val="PageNumber"/>
        <w:rFonts w:ascii="Arial" w:hAnsi="Arial"/>
        <w:sz w:val="20"/>
        <w:szCs w:val="20"/>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D02" w:rsidRDefault="00F12D02">
    <w:pPr>
      <w:rPr>
        <w:rFonts w:ascii="Arial" w:hAnsi="Arial"/>
        <w:sz w:val="20"/>
        <w:szCs w:val="20"/>
      </w:rPr>
    </w:pPr>
    <w:r>
      <w:rPr>
        <w:rFonts w:ascii="Arial" w:hAnsi="Arial"/>
        <w:sz w:val="20"/>
        <w:szCs w:val="20"/>
      </w:rPr>
      <w:t>P</w:t>
    </w:r>
    <w:r w:rsidR="00B53F4C">
      <w:rPr>
        <w:rFonts w:ascii="Arial" w:hAnsi="Arial"/>
        <w:sz w:val="20"/>
        <w:szCs w:val="20"/>
      </w:rPr>
      <w:t>JM ©20</w:t>
    </w:r>
    <w:r w:rsidR="00DA2F1D">
      <w:rPr>
        <w:rFonts w:ascii="Arial" w:hAnsi="Arial"/>
        <w:sz w:val="20"/>
        <w:szCs w:val="20"/>
      </w:rPr>
      <w:t>20</w:t>
    </w:r>
    <w:r>
      <w:rPr>
        <w:rFonts w:ascii="Arial" w:hAnsi="Arial"/>
        <w:sz w:val="20"/>
        <w:szCs w:val="20"/>
      </w:rPr>
      <w:tab/>
    </w:r>
    <w:r>
      <w:rPr>
        <w:rFonts w:ascii="Arial" w:hAnsi="Arial"/>
        <w:sz w:val="20"/>
        <w:szCs w:val="20"/>
      </w:rPr>
      <w:tab/>
    </w:r>
    <w:r>
      <w:tab/>
    </w:r>
    <w:r>
      <w:tab/>
    </w:r>
    <w:r>
      <w:tab/>
    </w:r>
    <w:r>
      <w:tab/>
    </w:r>
    <w:r>
      <w:tab/>
    </w:r>
    <w:r>
      <w:tab/>
    </w:r>
    <w:r>
      <w:tab/>
    </w:r>
    <w:r>
      <w:tab/>
    </w:r>
    <w:r>
      <w:tab/>
    </w:r>
    <w:r>
      <w:tab/>
    </w:r>
    <w:r>
      <w:tab/>
    </w:r>
    <w:r>
      <w:tab/>
    </w:r>
    <w:r>
      <w:tab/>
    </w:r>
    <w:r>
      <w:rPr>
        <w:rStyle w:val="PageNumber"/>
        <w:rFonts w:ascii="Arial" w:hAnsi="Arial"/>
        <w:sz w:val="20"/>
        <w:szCs w:val="20"/>
      </w:rPr>
      <w:t xml:space="preserve"> Page </w:t>
    </w:r>
    <w:r>
      <w:rPr>
        <w:rStyle w:val="PageNumber"/>
        <w:rFonts w:ascii="Arial" w:hAnsi="Arial"/>
        <w:sz w:val="20"/>
        <w:szCs w:val="20"/>
      </w:rPr>
      <w:fldChar w:fldCharType="begin"/>
    </w:r>
    <w:r>
      <w:rPr>
        <w:rStyle w:val="PageNumber"/>
        <w:rFonts w:ascii="Arial" w:hAnsi="Arial"/>
        <w:sz w:val="20"/>
        <w:szCs w:val="20"/>
      </w:rPr>
      <w:instrText xml:space="preserve"> PAGE </w:instrText>
    </w:r>
    <w:r>
      <w:rPr>
        <w:rStyle w:val="PageNumber"/>
        <w:rFonts w:ascii="Arial" w:hAnsi="Arial"/>
        <w:sz w:val="20"/>
        <w:szCs w:val="20"/>
      </w:rPr>
      <w:fldChar w:fldCharType="separate"/>
    </w:r>
    <w:r w:rsidR="00DA2F1D">
      <w:rPr>
        <w:rStyle w:val="PageNumber"/>
        <w:rFonts w:ascii="Arial" w:hAnsi="Arial"/>
        <w:noProof/>
        <w:sz w:val="20"/>
        <w:szCs w:val="20"/>
      </w:rPr>
      <w:t>1</w:t>
    </w:r>
    <w:r>
      <w:rPr>
        <w:rStyle w:val="PageNumber"/>
        <w:rFonts w:ascii="Arial" w:hAnsi="Arial"/>
        <w:sz w:val="20"/>
        <w:szCs w:val="20"/>
      </w:rPr>
      <w:fldChar w:fldCharType="end"/>
    </w:r>
    <w:r>
      <w:rPr>
        <w:rStyle w:val="PageNumber"/>
        <w:rFonts w:ascii="Arial" w:hAnsi="Arial"/>
        <w:sz w:val="20"/>
        <w:szCs w:val="20"/>
      </w:rPr>
      <w:t xml:space="preserve"> of </w:t>
    </w:r>
    <w:r>
      <w:rPr>
        <w:rStyle w:val="PageNumber"/>
        <w:rFonts w:ascii="Arial" w:hAnsi="Arial"/>
        <w:sz w:val="20"/>
        <w:szCs w:val="20"/>
      </w:rPr>
      <w:fldChar w:fldCharType="begin"/>
    </w:r>
    <w:r>
      <w:rPr>
        <w:rStyle w:val="PageNumber"/>
        <w:rFonts w:ascii="Arial" w:hAnsi="Arial"/>
        <w:sz w:val="20"/>
        <w:szCs w:val="20"/>
      </w:rPr>
      <w:instrText xml:space="preserve"> NUMPAGES </w:instrText>
    </w:r>
    <w:r>
      <w:rPr>
        <w:rStyle w:val="PageNumber"/>
        <w:rFonts w:ascii="Arial" w:hAnsi="Arial"/>
        <w:sz w:val="20"/>
        <w:szCs w:val="20"/>
      </w:rPr>
      <w:fldChar w:fldCharType="separate"/>
    </w:r>
    <w:r w:rsidR="00DA2F1D">
      <w:rPr>
        <w:rStyle w:val="PageNumber"/>
        <w:rFonts w:ascii="Arial" w:hAnsi="Arial"/>
        <w:noProof/>
        <w:sz w:val="20"/>
        <w:szCs w:val="20"/>
      </w:rPr>
      <w:t>8</w:t>
    </w:r>
    <w:r>
      <w:rPr>
        <w:rStyle w:val="PageNumbe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7A1" w:rsidRDefault="00F107A1">
      <w:r>
        <w:separator/>
      </w:r>
    </w:p>
  </w:footnote>
  <w:footnote w:type="continuationSeparator" w:id="0">
    <w:p w:rsidR="00F107A1" w:rsidRDefault="00F10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948"/>
      <w:gridCol w:w="5940"/>
    </w:tblGrid>
    <w:tr w:rsidR="00F12D02">
      <w:tc>
        <w:tcPr>
          <w:tcW w:w="6948" w:type="dxa"/>
        </w:tcPr>
        <w:p w:rsidR="00F12D02" w:rsidRDefault="007C5798">
          <w:pPr>
            <w:pStyle w:val="Header"/>
            <w:rPr>
              <w:rFonts w:ascii="Arial" w:hAnsi="Arial" w:cs="Arial"/>
            </w:rPr>
          </w:pPr>
          <w:r>
            <w:rPr>
              <w:noProof/>
            </w:rPr>
            <w:drawing>
              <wp:inline distT="0" distB="0" distL="0" distR="0">
                <wp:extent cx="685165" cy="258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258445"/>
                        </a:xfrm>
                        <a:prstGeom prst="rect">
                          <a:avLst/>
                        </a:prstGeom>
                        <a:noFill/>
                        <a:ln>
                          <a:noFill/>
                        </a:ln>
                        <a:effectLst/>
                      </pic:spPr>
                    </pic:pic>
                  </a:graphicData>
                </a:graphic>
              </wp:inline>
            </w:drawing>
          </w:r>
          <w:r w:rsidR="00F12D02">
            <w:t xml:space="preserve">  </w:t>
          </w:r>
        </w:p>
      </w:tc>
      <w:tc>
        <w:tcPr>
          <w:tcW w:w="5940" w:type="dxa"/>
        </w:tcPr>
        <w:p w:rsidR="00F12D02" w:rsidRDefault="00F12D02">
          <w:pPr>
            <w:pStyle w:val="Header"/>
            <w:jc w:val="right"/>
          </w:pPr>
          <w:r>
            <w:rPr>
              <w:rFonts w:ascii="Arial" w:hAnsi="Arial" w:cs="Arial"/>
            </w:rPr>
            <w:t>MSRS Report Format Documentation</w:t>
          </w:r>
        </w:p>
      </w:tc>
    </w:tr>
  </w:tbl>
  <w:p w:rsidR="00F12D02" w:rsidRDefault="00F12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00A"/>
    <w:multiLevelType w:val="multilevel"/>
    <w:tmpl w:val="CD00129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DCE04E6"/>
    <w:multiLevelType w:val="multilevel"/>
    <w:tmpl w:val="5A96BB50"/>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eda4eba5-733e-4ed9-a06d-cda568addc6e"/>
  </w:docVars>
  <w:rsids>
    <w:rsidRoot w:val="005B06AC"/>
    <w:rsid w:val="00025E23"/>
    <w:rsid w:val="000A4949"/>
    <w:rsid w:val="000E326C"/>
    <w:rsid w:val="000E4B93"/>
    <w:rsid w:val="001207AC"/>
    <w:rsid w:val="001E1E18"/>
    <w:rsid w:val="00217999"/>
    <w:rsid w:val="002507B4"/>
    <w:rsid w:val="002E758A"/>
    <w:rsid w:val="003461E2"/>
    <w:rsid w:val="00365A61"/>
    <w:rsid w:val="00411F04"/>
    <w:rsid w:val="00466416"/>
    <w:rsid w:val="004B54BD"/>
    <w:rsid w:val="004F50FD"/>
    <w:rsid w:val="00564025"/>
    <w:rsid w:val="005751A9"/>
    <w:rsid w:val="005B06AC"/>
    <w:rsid w:val="005B6A97"/>
    <w:rsid w:val="005F34AA"/>
    <w:rsid w:val="005F6329"/>
    <w:rsid w:val="00623D74"/>
    <w:rsid w:val="00656011"/>
    <w:rsid w:val="006A1F36"/>
    <w:rsid w:val="007C5798"/>
    <w:rsid w:val="007F6C31"/>
    <w:rsid w:val="00802A8C"/>
    <w:rsid w:val="008229B8"/>
    <w:rsid w:val="009905DE"/>
    <w:rsid w:val="009C0C34"/>
    <w:rsid w:val="009E6DBA"/>
    <w:rsid w:val="00AA3D1D"/>
    <w:rsid w:val="00B53F4C"/>
    <w:rsid w:val="00C0434D"/>
    <w:rsid w:val="00C1774E"/>
    <w:rsid w:val="00C2423E"/>
    <w:rsid w:val="00C941D3"/>
    <w:rsid w:val="00CA6B22"/>
    <w:rsid w:val="00D67E99"/>
    <w:rsid w:val="00D8520B"/>
    <w:rsid w:val="00DA2F1D"/>
    <w:rsid w:val="00DB6EFD"/>
    <w:rsid w:val="00DC4137"/>
    <w:rsid w:val="00E659B0"/>
    <w:rsid w:val="00EF5018"/>
    <w:rsid w:val="00F0398E"/>
    <w:rsid w:val="00F107A1"/>
    <w:rsid w:val="00F1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o:shapelayout v:ext="edit">
      <o:idmap v:ext="edit" data="1"/>
    </o:shapelayout>
  </w:shapeDefaults>
  <w:decimalSymbol w:val="."/>
  <w:listSeparator w:val=","/>
  <w14:docId w14:val="2865FA23"/>
  <w15:docId w15:val="{C8AE48A9-5360-4F7C-A8BB-18870E9A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semiHidden/>
    <w:pPr>
      <w:spacing w:before="360" w:after="360"/>
    </w:pPr>
    <w:rPr>
      <w:b/>
      <w:bCs/>
      <w:caps/>
      <w:szCs w:val="26"/>
      <w:u w:val="single"/>
    </w:rPr>
  </w:style>
  <w:style w:type="paragraph" w:styleId="TOC2">
    <w:name w:val="toc 2"/>
    <w:basedOn w:val="Normal"/>
    <w:next w:val="Normal"/>
    <w:autoRedefine/>
    <w:semiHidden/>
    <w:rPr>
      <w:b/>
      <w:bCs/>
      <w:smallCaps/>
      <w:szCs w:val="26"/>
    </w:rPr>
  </w:style>
  <w:style w:type="paragraph" w:styleId="TOC3">
    <w:name w:val="toc 3"/>
    <w:basedOn w:val="Normal"/>
    <w:next w:val="Normal"/>
    <w:autoRedefine/>
    <w:semiHidden/>
    <w:rPr>
      <w:smallCaps/>
      <w:szCs w:val="26"/>
    </w:rPr>
  </w:style>
  <w:style w:type="paragraph" w:styleId="TOC4">
    <w:name w:val="toc 4"/>
    <w:basedOn w:val="Normal"/>
    <w:next w:val="Normal"/>
    <w:autoRedefine/>
    <w:semiHidden/>
    <w:rPr>
      <w:szCs w:val="26"/>
    </w:rPr>
  </w:style>
  <w:style w:type="paragraph" w:styleId="TOC5">
    <w:name w:val="toc 5"/>
    <w:basedOn w:val="Normal"/>
    <w:next w:val="Normal"/>
    <w:autoRedefine/>
    <w:semiHidden/>
    <w:rPr>
      <w:szCs w:val="26"/>
    </w:rPr>
  </w:style>
  <w:style w:type="paragraph" w:styleId="TOC6">
    <w:name w:val="toc 6"/>
    <w:basedOn w:val="Normal"/>
    <w:next w:val="Normal"/>
    <w:autoRedefine/>
    <w:semiHidden/>
    <w:rPr>
      <w:szCs w:val="26"/>
    </w:rPr>
  </w:style>
  <w:style w:type="paragraph" w:styleId="TOC7">
    <w:name w:val="toc 7"/>
    <w:basedOn w:val="Normal"/>
    <w:next w:val="Normal"/>
    <w:autoRedefine/>
    <w:semiHidden/>
    <w:rPr>
      <w:szCs w:val="26"/>
    </w:rPr>
  </w:style>
  <w:style w:type="paragraph" w:styleId="TOC8">
    <w:name w:val="toc 8"/>
    <w:basedOn w:val="Normal"/>
    <w:next w:val="Normal"/>
    <w:autoRedefine/>
    <w:semiHidden/>
    <w:rPr>
      <w:szCs w:val="26"/>
    </w:rPr>
  </w:style>
  <w:style w:type="paragraph" w:styleId="TOC9">
    <w:name w:val="toc 9"/>
    <w:basedOn w:val="Normal"/>
    <w:next w:val="Normal"/>
    <w:autoRedefine/>
    <w:semiHidden/>
    <w:rPr>
      <w:szCs w:val="26"/>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360" w:hanging="360"/>
    </w:pPr>
  </w:style>
  <w:style w:type="paragraph" w:styleId="BodyText">
    <w:name w:val="Body Text"/>
    <w:basedOn w:val="Normal"/>
    <w:pPr>
      <w:spacing w:after="120"/>
    </w:pPr>
  </w:style>
  <w:style w:type="paragraph" w:styleId="NormalIndent">
    <w:name w:val="Normal Indent"/>
    <w:basedOn w:val="Normal"/>
    <w:pPr>
      <w:widowControl w:val="0"/>
      <w:spacing w:line="240" w:lineRule="atLeast"/>
      <w:ind w:left="900" w:hanging="900"/>
    </w:pPr>
    <w:rPr>
      <w:sz w:val="20"/>
      <w:szCs w:val="20"/>
    </w:rPr>
  </w:style>
  <w:style w:type="character" w:customStyle="1" w:styleId="BodyTextChar">
    <w:name w:val="Body Text Char"/>
    <w:rPr>
      <w:sz w:val="24"/>
      <w:szCs w:val="24"/>
      <w:lang w:val="en-US" w:eastAsia="en-US" w:bidi="ar-SA"/>
    </w:rPr>
  </w:style>
  <w:style w:type="character" w:customStyle="1" w:styleId="Heading1Char">
    <w:name w:val="Heading 1 Char"/>
    <w:rPr>
      <w:rFonts w:ascii="Arial" w:hAnsi="Arial" w:cs="Arial"/>
      <w:b/>
      <w:bCs/>
      <w:kern w:val="32"/>
      <w:sz w:val="32"/>
      <w:szCs w:val="32"/>
      <w:lang w:val="en-US" w:eastAsia="en-US" w:bidi="ar-SA"/>
    </w:rPr>
  </w:style>
  <w:style w:type="character" w:customStyle="1" w:styleId="BodyTextCharChar">
    <w:name w:val="Body Text Char Char"/>
    <w:rPr>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1">
    <w:name w:val="m1"/>
    <w:rPr>
      <w:color w:val="0000FF"/>
    </w:rPr>
  </w:style>
  <w:style w:type="character" w:customStyle="1" w:styleId="pi1">
    <w:name w:val="pi1"/>
    <w:rPr>
      <w:color w:val="0000FF"/>
    </w:rPr>
  </w:style>
  <w:style w:type="character" w:customStyle="1" w:styleId="t1">
    <w:name w:val="t1"/>
    <w:rPr>
      <w:color w:val="990000"/>
    </w:rPr>
  </w:style>
  <w:style w:type="character" w:customStyle="1" w:styleId="b1">
    <w:name w:val="b1"/>
    <w:rPr>
      <w:rFonts w:ascii="Courier New" w:hAnsi="Courier New" w:cs="Courier New" w:hint="default"/>
      <w:b/>
      <w:bCs/>
      <w:strike w:val="0"/>
      <w:dstrike w:val="0"/>
      <w:color w:val="FF0000"/>
      <w:u w:val="none"/>
      <w:effect w:val="none"/>
    </w:rPr>
  </w:style>
  <w:style w:type="character" w:customStyle="1" w:styleId="tx1">
    <w:name w:val="tx1"/>
    <w:rPr>
      <w:b/>
      <w:bCs/>
    </w:rPr>
  </w:style>
  <w:style w:type="paragraph" w:customStyle="1" w:styleId="BulletList">
    <w:name w:val="Bullet List"/>
    <w:basedOn w:val="Heading1"/>
    <w:autoRedefine/>
    <w:rsid w:val="00E659B0"/>
    <w:pPr>
      <w:numPr>
        <w:numId w:val="0"/>
      </w:numPr>
      <w:ind w:left="360"/>
    </w:pPr>
    <w:rPr>
      <w:b w:val="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234">
      <w:bodyDiv w:val="1"/>
      <w:marLeft w:val="0"/>
      <w:marRight w:val="0"/>
      <w:marTop w:val="0"/>
      <w:marBottom w:val="0"/>
      <w:divBdr>
        <w:top w:val="none" w:sz="0" w:space="0" w:color="auto"/>
        <w:left w:val="none" w:sz="0" w:space="0" w:color="auto"/>
        <w:bottom w:val="none" w:sz="0" w:space="0" w:color="auto"/>
        <w:right w:val="none" w:sz="0" w:space="0" w:color="auto"/>
      </w:divBdr>
    </w:div>
    <w:div w:id="90707399">
      <w:bodyDiv w:val="1"/>
      <w:marLeft w:val="0"/>
      <w:marRight w:val="0"/>
      <w:marTop w:val="0"/>
      <w:marBottom w:val="0"/>
      <w:divBdr>
        <w:top w:val="none" w:sz="0" w:space="0" w:color="auto"/>
        <w:left w:val="none" w:sz="0" w:space="0" w:color="auto"/>
        <w:bottom w:val="none" w:sz="0" w:space="0" w:color="auto"/>
        <w:right w:val="none" w:sz="0" w:space="0" w:color="auto"/>
      </w:divBdr>
    </w:div>
    <w:div w:id="109007771">
      <w:bodyDiv w:val="1"/>
      <w:marLeft w:val="0"/>
      <w:marRight w:val="0"/>
      <w:marTop w:val="0"/>
      <w:marBottom w:val="0"/>
      <w:divBdr>
        <w:top w:val="none" w:sz="0" w:space="0" w:color="auto"/>
        <w:left w:val="none" w:sz="0" w:space="0" w:color="auto"/>
        <w:bottom w:val="none" w:sz="0" w:space="0" w:color="auto"/>
        <w:right w:val="none" w:sz="0" w:space="0" w:color="auto"/>
      </w:divBdr>
    </w:div>
    <w:div w:id="111247041">
      <w:bodyDiv w:val="1"/>
      <w:marLeft w:val="0"/>
      <w:marRight w:val="0"/>
      <w:marTop w:val="0"/>
      <w:marBottom w:val="0"/>
      <w:divBdr>
        <w:top w:val="none" w:sz="0" w:space="0" w:color="auto"/>
        <w:left w:val="none" w:sz="0" w:space="0" w:color="auto"/>
        <w:bottom w:val="none" w:sz="0" w:space="0" w:color="auto"/>
        <w:right w:val="none" w:sz="0" w:space="0" w:color="auto"/>
      </w:divBdr>
    </w:div>
    <w:div w:id="204028927">
      <w:bodyDiv w:val="1"/>
      <w:marLeft w:val="0"/>
      <w:marRight w:val="0"/>
      <w:marTop w:val="0"/>
      <w:marBottom w:val="0"/>
      <w:divBdr>
        <w:top w:val="none" w:sz="0" w:space="0" w:color="auto"/>
        <w:left w:val="none" w:sz="0" w:space="0" w:color="auto"/>
        <w:bottom w:val="none" w:sz="0" w:space="0" w:color="auto"/>
        <w:right w:val="none" w:sz="0" w:space="0" w:color="auto"/>
      </w:divBdr>
    </w:div>
    <w:div w:id="269901421">
      <w:bodyDiv w:val="1"/>
      <w:marLeft w:val="0"/>
      <w:marRight w:val="0"/>
      <w:marTop w:val="0"/>
      <w:marBottom w:val="0"/>
      <w:divBdr>
        <w:top w:val="none" w:sz="0" w:space="0" w:color="auto"/>
        <w:left w:val="none" w:sz="0" w:space="0" w:color="auto"/>
        <w:bottom w:val="none" w:sz="0" w:space="0" w:color="auto"/>
        <w:right w:val="none" w:sz="0" w:space="0" w:color="auto"/>
      </w:divBdr>
    </w:div>
    <w:div w:id="273365573">
      <w:bodyDiv w:val="1"/>
      <w:marLeft w:val="0"/>
      <w:marRight w:val="0"/>
      <w:marTop w:val="0"/>
      <w:marBottom w:val="0"/>
      <w:divBdr>
        <w:top w:val="none" w:sz="0" w:space="0" w:color="auto"/>
        <w:left w:val="none" w:sz="0" w:space="0" w:color="auto"/>
        <w:bottom w:val="none" w:sz="0" w:space="0" w:color="auto"/>
        <w:right w:val="none" w:sz="0" w:space="0" w:color="auto"/>
      </w:divBdr>
    </w:div>
    <w:div w:id="365175589">
      <w:bodyDiv w:val="1"/>
      <w:marLeft w:val="0"/>
      <w:marRight w:val="0"/>
      <w:marTop w:val="0"/>
      <w:marBottom w:val="0"/>
      <w:divBdr>
        <w:top w:val="none" w:sz="0" w:space="0" w:color="auto"/>
        <w:left w:val="none" w:sz="0" w:space="0" w:color="auto"/>
        <w:bottom w:val="none" w:sz="0" w:space="0" w:color="auto"/>
        <w:right w:val="none" w:sz="0" w:space="0" w:color="auto"/>
      </w:divBdr>
    </w:div>
    <w:div w:id="369842828">
      <w:bodyDiv w:val="1"/>
      <w:marLeft w:val="0"/>
      <w:marRight w:val="0"/>
      <w:marTop w:val="0"/>
      <w:marBottom w:val="0"/>
      <w:divBdr>
        <w:top w:val="none" w:sz="0" w:space="0" w:color="auto"/>
        <w:left w:val="none" w:sz="0" w:space="0" w:color="auto"/>
        <w:bottom w:val="none" w:sz="0" w:space="0" w:color="auto"/>
        <w:right w:val="none" w:sz="0" w:space="0" w:color="auto"/>
      </w:divBdr>
      <w:divsChild>
        <w:div w:id="680164361">
          <w:marLeft w:val="0"/>
          <w:marRight w:val="0"/>
          <w:marTop w:val="0"/>
          <w:marBottom w:val="0"/>
          <w:divBdr>
            <w:top w:val="none" w:sz="0" w:space="0" w:color="auto"/>
            <w:left w:val="none" w:sz="0" w:space="0" w:color="auto"/>
            <w:bottom w:val="none" w:sz="0" w:space="0" w:color="auto"/>
            <w:right w:val="none" w:sz="0" w:space="0" w:color="auto"/>
          </w:divBdr>
          <w:divsChild>
            <w:div w:id="178934172">
              <w:marLeft w:val="0"/>
              <w:marRight w:val="0"/>
              <w:marTop w:val="0"/>
              <w:marBottom w:val="0"/>
              <w:divBdr>
                <w:top w:val="none" w:sz="0" w:space="0" w:color="auto"/>
                <w:left w:val="none" w:sz="0" w:space="0" w:color="auto"/>
                <w:bottom w:val="none" w:sz="0" w:space="0" w:color="auto"/>
                <w:right w:val="none" w:sz="0" w:space="0" w:color="auto"/>
              </w:divBdr>
            </w:div>
            <w:div w:id="710420219">
              <w:marLeft w:val="0"/>
              <w:marRight w:val="0"/>
              <w:marTop w:val="0"/>
              <w:marBottom w:val="0"/>
              <w:divBdr>
                <w:top w:val="none" w:sz="0" w:space="0" w:color="auto"/>
                <w:left w:val="none" w:sz="0" w:space="0" w:color="auto"/>
                <w:bottom w:val="none" w:sz="0" w:space="0" w:color="auto"/>
                <w:right w:val="none" w:sz="0" w:space="0" w:color="auto"/>
              </w:divBdr>
            </w:div>
            <w:div w:id="868377181">
              <w:marLeft w:val="0"/>
              <w:marRight w:val="0"/>
              <w:marTop w:val="0"/>
              <w:marBottom w:val="0"/>
              <w:divBdr>
                <w:top w:val="none" w:sz="0" w:space="0" w:color="auto"/>
                <w:left w:val="none" w:sz="0" w:space="0" w:color="auto"/>
                <w:bottom w:val="none" w:sz="0" w:space="0" w:color="auto"/>
                <w:right w:val="none" w:sz="0" w:space="0" w:color="auto"/>
              </w:divBdr>
            </w:div>
            <w:div w:id="1465079014">
              <w:marLeft w:val="0"/>
              <w:marRight w:val="0"/>
              <w:marTop w:val="0"/>
              <w:marBottom w:val="0"/>
              <w:divBdr>
                <w:top w:val="none" w:sz="0" w:space="0" w:color="auto"/>
                <w:left w:val="none" w:sz="0" w:space="0" w:color="auto"/>
                <w:bottom w:val="none" w:sz="0" w:space="0" w:color="auto"/>
                <w:right w:val="none" w:sz="0" w:space="0" w:color="auto"/>
              </w:divBdr>
            </w:div>
            <w:div w:id="175906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3784">
      <w:bodyDiv w:val="1"/>
      <w:marLeft w:val="0"/>
      <w:marRight w:val="0"/>
      <w:marTop w:val="0"/>
      <w:marBottom w:val="0"/>
      <w:divBdr>
        <w:top w:val="none" w:sz="0" w:space="0" w:color="auto"/>
        <w:left w:val="none" w:sz="0" w:space="0" w:color="auto"/>
        <w:bottom w:val="none" w:sz="0" w:space="0" w:color="auto"/>
        <w:right w:val="none" w:sz="0" w:space="0" w:color="auto"/>
      </w:divBdr>
    </w:div>
    <w:div w:id="560752079">
      <w:bodyDiv w:val="1"/>
      <w:marLeft w:val="0"/>
      <w:marRight w:val="0"/>
      <w:marTop w:val="0"/>
      <w:marBottom w:val="0"/>
      <w:divBdr>
        <w:top w:val="none" w:sz="0" w:space="0" w:color="auto"/>
        <w:left w:val="none" w:sz="0" w:space="0" w:color="auto"/>
        <w:bottom w:val="none" w:sz="0" w:space="0" w:color="auto"/>
        <w:right w:val="none" w:sz="0" w:space="0" w:color="auto"/>
      </w:divBdr>
    </w:div>
    <w:div w:id="570849016">
      <w:bodyDiv w:val="1"/>
      <w:marLeft w:val="0"/>
      <w:marRight w:val="0"/>
      <w:marTop w:val="0"/>
      <w:marBottom w:val="0"/>
      <w:divBdr>
        <w:top w:val="none" w:sz="0" w:space="0" w:color="auto"/>
        <w:left w:val="none" w:sz="0" w:space="0" w:color="auto"/>
        <w:bottom w:val="none" w:sz="0" w:space="0" w:color="auto"/>
        <w:right w:val="none" w:sz="0" w:space="0" w:color="auto"/>
      </w:divBdr>
    </w:div>
    <w:div w:id="597130772">
      <w:bodyDiv w:val="1"/>
      <w:marLeft w:val="0"/>
      <w:marRight w:val="0"/>
      <w:marTop w:val="0"/>
      <w:marBottom w:val="0"/>
      <w:divBdr>
        <w:top w:val="none" w:sz="0" w:space="0" w:color="auto"/>
        <w:left w:val="none" w:sz="0" w:space="0" w:color="auto"/>
        <w:bottom w:val="none" w:sz="0" w:space="0" w:color="auto"/>
        <w:right w:val="none" w:sz="0" w:space="0" w:color="auto"/>
      </w:divBdr>
    </w:div>
    <w:div w:id="605305991">
      <w:bodyDiv w:val="1"/>
      <w:marLeft w:val="0"/>
      <w:marRight w:val="0"/>
      <w:marTop w:val="0"/>
      <w:marBottom w:val="0"/>
      <w:divBdr>
        <w:top w:val="none" w:sz="0" w:space="0" w:color="auto"/>
        <w:left w:val="none" w:sz="0" w:space="0" w:color="auto"/>
        <w:bottom w:val="none" w:sz="0" w:space="0" w:color="auto"/>
        <w:right w:val="none" w:sz="0" w:space="0" w:color="auto"/>
      </w:divBdr>
    </w:div>
    <w:div w:id="869413323">
      <w:bodyDiv w:val="1"/>
      <w:marLeft w:val="0"/>
      <w:marRight w:val="0"/>
      <w:marTop w:val="0"/>
      <w:marBottom w:val="0"/>
      <w:divBdr>
        <w:top w:val="none" w:sz="0" w:space="0" w:color="auto"/>
        <w:left w:val="none" w:sz="0" w:space="0" w:color="auto"/>
        <w:bottom w:val="none" w:sz="0" w:space="0" w:color="auto"/>
        <w:right w:val="none" w:sz="0" w:space="0" w:color="auto"/>
      </w:divBdr>
    </w:div>
    <w:div w:id="877011678">
      <w:bodyDiv w:val="1"/>
      <w:marLeft w:val="0"/>
      <w:marRight w:val="0"/>
      <w:marTop w:val="0"/>
      <w:marBottom w:val="0"/>
      <w:divBdr>
        <w:top w:val="none" w:sz="0" w:space="0" w:color="auto"/>
        <w:left w:val="none" w:sz="0" w:space="0" w:color="auto"/>
        <w:bottom w:val="none" w:sz="0" w:space="0" w:color="auto"/>
        <w:right w:val="none" w:sz="0" w:space="0" w:color="auto"/>
      </w:divBdr>
    </w:div>
    <w:div w:id="1015183822">
      <w:bodyDiv w:val="1"/>
      <w:marLeft w:val="0"/>
      <w:marRight w:val="0"/>
      <w:marTop w:val="0"/>
      <w:marBottom w:val="0"/>
      <w:divBdr>
        <w:top w:val="none" w:sz="0" w:space="0" w:color="auto"/>
        <w:left w:val="none" w:sz="0" w:space="0" w:color="auto"/>
        <w:bottom w:val="none" w:sz="0" w:space="0" w:color="auto"/>
        <w:right w:val="none" w:sz="0" w:space="0" w:color="auto"/>
      </w:divBdr>
    </w:div>
    <w:div w:id="1045521066">
      <w:bodyDiv w:val="1"/>
      <w:marLeft w:val="0"/>
      <w:marRight w:val="0"/>
      <w:marTop w:val="0"/>
      <w:marBottom w:val="0"/>
      <w:divBdr>
        <w:top w:val="none" w:sz="0" w:space="0" w:color="auto"/>
        <w:left w:val="none" w:sz="0" w:space="0" w:color="auto"/>
        <w:bottom w:val="none" w:sz="0" w:space="0" w:color="auto"/>
        <w:right w:val="none" w:sz="0" w:space="0" w:color="auto"/>
      </w:divBdr>
    </w:div>
    <w:div w:id="1100949509">
      <w:bodyDiv w:val="1"/>
      <w:marLeft w:val="0"/>
      <w:marRight w:val="0"/>
      <w:marTop w:val="0"/>
      <w:marBottom w:val="0"/>
      <w:divBdr>
        <w:top w:val="none" w:sz="0" w:space="0" w:color="auto"/>
        <w:left w:val="none" w:sz="0" w:space="0" w:color="auto"/>
        <w:bottom w:val="none" w:sz="0" w:space="0" w:color="auto"/>
        <w:right w:val="none" w:sz="0" w:space="0" w:color="auto"/>
      </w:divBdr>
    </w:div>
    <w:div w:id="1122072942">
      <w:bodyDiv w:val="1"/>
      <w:marLeft w:val="0"/>
      <w:marRight w:val="0"/>
      <w:marTop w:val="0"/>
      <w:marBottom w:val="0"/>
      <w:divBdr>
        <w:top w:val="none" w:sz="0" w:space="0" w:color="auto"/>
        <w:left w:val="none" w:sz="0" w:space="0" w:color="auto"/>
        <w:bottom w:val="none" w:sz="0" w:space="0" w:color="auto"/>
        <w:right w:val="none" w:sz="0" w:space="0" w:color="auto"/>
      </w:divBdr>
    </w:div>
    <w:div w:id="1144155941">
      <w:bodyDiv w:val="1"/>
      <w:marLeft w:val="0"/>
      <w:marRight w:val="0"/>
      <w:marTop w:val="0"/>
      <w:marBottom w:val="0"/>
      <w:divBdr>
        <w:top w:val="none" w:sz="0" w:space="0" w:color="auto"/>
        <w:left w:val="none" w:sz="0" w:space="0" w:color="auto"/>
        <w:bottom w:val="none" w:sz="0" w:space="0" w:color="auto"/>
        <w:right w:val="none" w:sz="0" w:space="0" w:color="auto"/>
      </w:divBdr>
    </w:div>
    <w:div w:id="1195390102">
      <w:bodyDiv w:val="1"/>
      <w:marLeft w:val="0"/>
      <w:marRight w:val="0"/>
      <w:marTop w:val="0"/>
      <w:marBottom w:val="0"/>
      <w:divBdr>
        <w:top w:val="none" w:sz="0" w:space="0" w:color="auto"/>
        <w:left w:val="none" w:sz="0" w:space="0" w:color="auto"/>
        <w:bottom w:val="none" w:sz="0" w:space="0" w:color="auto"/>
        <w:right w:val="none" w:sz="0" w:space="0" w:color="auto"/>
      </w:divBdr>
    </w:div>
    <w:div w:id="1205487604">
      <w:bodyDiv w:val="1"/>
      <w:marLeft w:val="0"/>
      <w:marRight w:val="0"/>
      <w:marTop w:val="0"/>
      <w:marBottom w:val="0"/>
      <w:divBdr>
        <w:top w:val="none" w:sz="0" w:space="0" w:color="auto"/>
        <w:left w:val="none" w:sz="0" w:space="0" w:color="auto"/>
        <w:bottom w:val="none" w:sz="0" w:space="0" w:color="auto"/>
        <w:right w:val="none" w:sz="0" w:space="0" w:color="auto"/>
      </w:divBdr>
    </w:div>
    <w:div w:id="1554190821">
      <w:bodyDiv w:val="1"/>
      <w:marLeft w:val="0"/>
      <w:marRight w:val="0"/>
      <w:marTop w:val="0"/>
      <w:marBottom w:val="0"/>
      <w:divBdr>
        <w:top w:val="none" w:sz="0" w:space="0" w:color="auto"/>
        <w:left w:val="none" w:sz="0" w:space="0" w:color="auto"/>
        <w:bottom w:val="none" w:sz="0" w:space="0" w:color="auto"/>
        <w:right w:val="none" w:sz="0" w:space="0" w:color="auto"/>
      </w:divBdr>
    </w:div>
    <w:div w:id="1584755748">
      <w:bodyDiv w:val="1"/>
      <w:marLeft w:val="0"/>
      <w:marRight w:val="0"/>
      <w:marTop w:val="0"/>
      <w:marBottom w:val="0"/>
      <w:divBdr>
        <w:top w:val="none" w:sz="0" w:space="0" w:color="auto"/>
        <w:left w:val="none" w:sz="0" w:space="0" w:color="auto"/>
        <w:bottom w:val="none" w:sz="0" w:space="0" w:color="auto"/>
        <w:right w:val="none" w:sz="0" w:space="0" w:color="auto"/>
      </w:divBdr>
    </w:div>
    <w:div w:id="1599293030">
      <w:bodyDiv w:val="1"/>
      <w:marLeft w:val="0"/>
      <w:marRight w:val="360"/>
      <w:marTop w:val="0"/>
      <w:marBottom w:val="0"/>
      <w:divBdr>
        <w:top w:val="none" w:sz="0" w:space="0" w:color="auto"/>
        <w:left w:val="none" w:sz="0" w:space="0" w:color="auto"/>
        <w:bottom w:val="none" w:sz="0" w:space="0" w:color="auto"/>
        <w:right w:val="none" w:sz="0" w:space="0" w:color="auto"/>
      </w:divBdr>
      <w:divsChild>
        <w:div w:id="429392338">
          <w:marLeft w:val="240"/>
          <w:marRight w:val="240"/>
          <w:marTop w:val="0"/>
          <w:marBottom w:val="0"/>
          <w:divBdr>
            <w:top w:val="none" w:sz="0" w:space="0" w:color="auto"/>
            <w:left w:val="none" w:sz="0" w:space="0" w:color="auto"/>
            <w:bottom w:val="none" w:sz="0" w:space="0" w:color="auto"/>
            <w:right w:val="none" w:sz="0" w:space="0" w:color="auto"/>
          </w:divBdr>
          <w:divsChild>
            <w:div w:id="220022692">
              <w:marLeft w:val="240"/>
              <w:marRight w:val="0"/>
              <w:marTop w:val="0"/>
              <w:marBottom w:val="0"/>
              <w:divBdr>
                <w:top w:val="none" w:sz="0" w:space="0" w:color="auto"/>
                <w:left w:val="none" w:sz="0" w:space="0" w:color="auto"/>
                <w:bottom w:val="none" w:sz="0" w:space="0" w:color="auto"/>
                <w:right w:val="none" w:sz="0" w:space="0" w:color="auto"/>
              </w:divBdr>
            </w:div>
            <w:div w:id="804934259">
              <w:marLeft w:val="0"/>
              <w:marRight w:val="0"/>
              <w:marTop w:val="0"/>
              <w:marBottom w:val="0"/>
              <w:divBdr>
                <w:top w:val="none" w:sz="0" w:space="0" w:color="auto"/>
                <w:left w:val="none" w:sz="0" w:space="0" w:color="auto"/>
                <w:bottom w:val="none" w:sz="0" w:space="0" w:color="auto"/>
                <w:right w:val="none" w:sz="0" w:space="0" w:color="auto"/>
              </w:divBdr>
              <w:divsChild>
                <w:div w:id="154341441">
                  <w:marLeft w:val="240"/>
                  <w:marRight w:val="240"/>
                  <w:marTop w:val="0"/>
                  <w:marBottom w:val="0"/>
                  <w:divBdr>
                    <w:top w:val="none" w:sz="0" w:space="0" w:color="auto"/>
                    <w:left w:val="none" w:sz="0" w:space="0" w:color="auto"/>
                    <w:bottom w:val="none" w:sz="0" w:space="0" w:color="auto"/>
                    <w:right w:val="none" w:sz="0" w:space="0" w:color="auto"/>
                  </w:divBdr>
                  <w:divsChild>
                    <w:div w:id="1788424389">
                      <w:marLeft w:val="240"/>
                      <w:marRight w:val="0"/>
                      <w:marTop w:val="0"/>
                      <w:marBottom w:val="0"/>
                      <w:divBdr>
                        <w:top w:val="none" w:sz="0" w:space="0" w:color="auto"/>
                        <w:left w:val="none" w:sz="0" w:space="0" w:color="auto"/>
                        <w:bottom w:val="none" w:sz="0" w:space="0" w:color="auto"/>
                        <w:right w:val="none" w:sz="0" w:space="0" w:color="auto"/>
                      </w:divBdr>
                    </w:div>
                  </w:divsChild>
                </w:div>
                <w:div w:id="709376996">
                  <w:marLeft w:val="0"/>
                  <w:marRight w:val="0"/>
                  <w:marTop w:val="0"/>
                  <w:marBottom w:val="0"/>
                  <w:divBdr>
                    <w:top w:val="none" w:sz="0" w:space="0" w:color="auto"/>
                    <w:left w:val="none" w:sz="0" w:space="0" w:color="auto"/>
                    <w:bottom w:val="none" w:sz="0" w:space="0" w:color="auto"/>
                    <w:right w:val="none" w:sz="0" w:space="0" w:color="auto"/>
                  </w:divBdr>
                </w:div>
                <w:div w:id="741678950">
                  <w:marLeft w:val="240"/>
                  <w:marRight w:val="240"/>
                  <w:marTop w:val="0"/>
                  <w:marBottom w:val="0"/>
                  <w:divBdr>
                    <w:top w:val="none" w:sz="0" w:space="0" w:color="auto"/>
                    <w:left w:val="none" w:sz="0" w:space="0" w:color="auto"/>
                    <w:bottom w:val="none" w:sz="0" w:space="0" w:color="auto"/>
                    <w:right w:val="none" w:sz="0" w:space="0" w:color="auto"/>
                  </w:divBdr>
                  <w:divsChild>
                    <w:div w:id="559251046">
                      <w:marLeft w:val="240"/>
                      <w:marRight w:val="0"/>
                      <w:marTop w:val="0"/>
                      <w:marBottom w:val="0"/>
                      <w:divBdr>
                        <w:top w:val="none" w:sz="0" w:space="0" w:color="auto"/>
                        <w:left w:val="none" w:sz="0" w:space="0" w:color="auto"/>
                        <w:bottom w:val="none" w:sz="0" w:space="0" w:color="auto"/>
                        <w:right w:val="none" w:sz="0" w:space="0" w:color="auto"/>
                      </w:divBdr>
                    </w:div>
                  </w:divsChild>
                </w:div>
                <w:div w:id="1032614441">
                  <w:marLeft w:val="240"/>
                  <w:marRight w:val="240"/>
                  <w:marTop w:val="0"/>
                  <w:marBottom w:val="0"/>
                  <w:divBdr>
                    <w:top w:val="none" w:sz="0" w:space="0" w:color="auto"/>
                    <w:left w:val="none" w:sz="0" w:space="0" w:color="auto"/>
                    <w:bottom w:val="none" w:sz="0" w:space="0" w:color="auto"/>
                    <w:right w:val="none" w:sz="0" w:space="0" w:color="auto"/>
                  </w:divBdr>
                  <w:divsChild>
                    <w:div w:id="1318611731">
                      <w:marLeft w:val="240"/>
                      <w:marRight w:val="0"/>
                      <w:marTop w:val="0"/>
                      <w:marBottom w:val="0"/>
                      <w:divBdr>
                        <w:top w:val="none" w:sz="0" w:space="0" w:color="auto"/>
                        <w:left w:val="none" w:sz="0" w:space="0" w:color="auto"/>
                        <w:bottom w:val="none" w:sz="0" w:space="0" w:color="auto"/>
                        <w:right w:val="none" w:sz="0" w:space="0" w:color="auto"/>
                      </w:divBdr>
                    </w:div>
                    <w:div w:id="1350598279">
                      <w:marLeft w:val="0"/>
                      <w:marRight w:val="0"/>
                      <w:marTop w:val="0"/>
                      <w:marBottom w:val="0"/>
                      <w:divBdr>
                        <w:top w:val="none" w:sz="0" w:space="0" w:color="auto"/>
                        <w:left w:val="none" w:sz="0" w:space="0" w:color="auto"/>
                        <w:bottom w:val="none" w:sz="0" w:space="0" w:color="auto"/>
                        <w:right w:val="none" w:sz="0" w:space="0" w:color="auto"/>
                      </w:divBdr>
                      <w:divsChild>
                        <w:div w:id="54011020">
                          <w:marLeft w:val="240"/>
                          <w:marRight w:val="240"/>
                          <w:marTop w:val="0"/>
                          <w:marBottom w:val="0"/>
                          <w:divBdr>
                            <w:top w:val="none" w:sz="0" w:space="0" w:color="auto"/>
                            <w:left w:val="none" w:sz="0" w:space="0" w:color="auto"/>
                            <w:bottom w:val="none" w:sz="0" w:space="0" w:color="auto"/>
                            <w:right w:val="none" w:sz="0" w:space="0" w:color="auto"/>
                          </w:divBdr>
                          <w:divsChild>
                            <w:div w:id="449127673">
                              <w:marLeft w:val="240"/>
                              <w:marRight w:val="0"/>
                              <w:marTop w:val="0"/>
                              <w:marBottom w:val="0"/>
                              <w:divBdr>
                                <w:top w:val="none" w:sz="0" w:space="0" w:color="auto"/>
                                <w:left w:val="none" w:sz="0" w:space="0" w:color="auto"/>
                                <w:bottom w:val="none" w:sz="0" w:space="0" w:color="auto"/>
                                <w:right w:val="none" w:sz="0" w:space="0" w:color="auto"/>
                              </w:divBdr>
                            </w:div>
                          </w:divsChild>
                        </w:div>
                        <w:div w:id="90901297">
                          <w:marLeft w:val="0"/>
                          <w:marRight w:val="0"/>
                          <w:marTop w:val="0"/>
                          <w:marBottom w:val="0"/>
                          <w:divBdr>
                            <w:top w:val="none" w:sz="0" w:space="0" w:color="auto"/>
                            <w:left w:val="none" w:sz="0" w:space="0" w:color="auto"/>
                            <w:bottom w:val="none" w:sz="0" w:space="0" w:color="auto"/>
                            <w:right w:val="none" w:sz="0" w:space="0" w:color="auto"/>
                          </w:divBdr>
                        </w:div>
                        <w:div w:id="232663475">
                          <w:marLeft w:val="240"/>
                          <w:marRight w:val="240"/>
                          <w:marTop w:val="0"/>
                          <w:marBottom w:val="0"/>
                          <w:divBdr>
                            <w:top w:val="none" w:sz="0" w:space="0" w:color="auto"/>
                            <w:left w:val="none" w:sz="0" w:space="0" w:color="auto"/>
                            <w:bottom w:val="none" w:sz="0" w:space="0" w:color="auto"/>
                            <w:right w:val="none" w:sz="0" w:space="0" w:color="auto"/>
                          </w:divBdr>
                          <w:divsChild>
                            <w:div w:id="1437872562">
                              <w:marLeft w:val="240"/>
                              <w:marRight w:val="0"/>
                              <w:marTop w:val="0"/>
                              <w:marBottom w:val="0"/>
                              <w:divBdr>
                                <w:top w:val="none" w:sz="0" w:space="0" w:color="auto"/>
                                <w:left w:val="none" w:sz="0" w:space="0" w:color="auto"/>
                                <w:bottom w:val="none" w:sz="0" w:space="0" w:color="auto"/>
                                <w:right w:val="none" w:sz="0" w:space="0" w:color="auto"/>
                              </w:divBdr>
                            </w:div>
                          </w:divsChild>
                        </w:div>
                        <w:div w:id="290017200">
                          <w:marLeft w:val="240"/>
                          <w:marRight w:val="240"/>
                          <w:marTop w:val="0"/>
                          <w:marBottom w:val="0"/>
                          <w:divBdr>
                            <w:top w:val="none" w:sz="0" w:space="0" w:color="auto"/>
                            <w:left w:val="none" w:sz="0" w:space="0" w:color="auto"/>
                            <w:bottom w:val="none" w:sz="0" w:space="0" w:color="auto"/>
                            <w:right w:val="none" w:sz="0" w:space="0" w:color="auto"/>
                          </w:divBdr>
                          <w:divsChild>
                            <w:div w:id="1317566836">
                              <w:marLeft w:val="240"/>
                              <w:marRight w:val="0"/>
                              <w:marTop w:val="0"/>
                              <w:marBottom w:val="0"/>
                              <w:divBdr>
                                <w:top w:val="none" w:sz="0" w:space="0" w:color="auto"/>
                                <w:left w:val="none" w:sz="0" w:space="0" w:color="auto"/>
                                <w:bottom w:val="none" w:sz="0" w:space="0" w:color="auto"/>
                                <w:right w:val="none" w:sz="0" w:space="0" w:color="auto"/>
                              </w:divBdr>
                            </w:div>
                          </w:divsChild>
                        </w:div>
                        <w:div w:id="456222317">
                          <w:marLeft w:val="240"/>
                          <w:marRight w:val="240"/>
                          <w:marTop w:val="0"/>
                          <w:marBottom w:val="0"/>
                          <w:divBdr>
                            <w:top w:val="none" w:sz="0" w:space="0" w:color="auto"/>
                            <w:left w:val="none" w:sz="0" w:space="0" w:color="auto"/>
                            <w:bottom w:val="none" w:sz="0" w:space="0" w:color="auto"/>
                            <w:right w:val="none" w:sz="0" w:space="0" w:color="auto"/>
                          </w:divBdr>
                          <w:divsChild>
                            <w:div w:id="2036542574">
                              <w:marLeft w:val="240"/>
                              <w:marRight w:val="0"/>
                              <w:marTop w:val="0"/>
                              <w:marBottom w:val="0"/>
                              <w:divBdr>
                                <w:top w:val="none" w:sz="0" w:space="0" w:color="auto"/>
                                <w:left w:val="none" w:sz="0" w:space="0" w:color="auto"/>
                                <w:bottom w:val="none" w:sz="0" w:space="0" w:color="auto"/>
                                <w:right w:val="none" w:sz="0" w:space="0" w:color="auto"/>
                              </w:divBdr>
                            </w:div>
                          </w:divsChild>
                        </w:div>
                        <w:div w:id="537200827">
                          <w:marLeft w:val="240"/>
                          <w:marRight w:val="240"/>
                          <w:marTop w:val="0"/>
                          <w:marBottom w:val="0"/>
                          <w:divBdr>
                            <w:top w:val="none" w:sz="0" w:space="0" w:color="auto"/>
                            <w:left w:val="none" w:sz="0" w:space="0" w:color="auto"/>
                            <w:bottom w:val="none" w:sz="0" w:space="0" w:color="auto"/>
                            <w:right w:val="none" w:sz="0" w:space="0" w:color="auto"/>
                          </w:divBdr>
                          <w:divsChild>
                            <w:div w:id="903219341">
                              <w:marLeft w:val="240"/>
                              <w:marRight w:val="0"/>
                              <w:marTop w:val="0"/>
                              <w:marBottom w:val="0"/>
                              <w:divBdr>
                                <w:top w:val="none" w:sz="0" w:space="0" w:color="auto"/>
                                <w:left w:val="none" w:sz="0" w:space="0" w:color="auto"/>
                                <w:bottom w:val="none" w:sz="0" w:space="0" w:color="auto"/>
                                <w:right w:val="none" w:sz="0" w:space="0" w:color="auto"/>
                              </w:divBdr>
                            </w:div>
                          </w:divsChild>
                        </w:div>
                        <w:div w:id="1117336395">
                          <w:marLeft w:val="240"/>
                          <w:marRight w:val="240"/>
                          <w:marTop w:val="0"/>
                          <w:marBottom w:val="0"/>
                          <w:divBdr>
                            <w:top w:val="none" w:sz="0" w:space="0" w:color="auto"/>
                            <w:left w:val="none" w:sz="0" w:space="0" w:color="auto"/>
                            <w:bottom w:val="none" w:sz="0" w:space="0" w:color="auto"/>
                            <w:right w:val="none" w:sz="0" w:space="0" w:color="auto"/>
                          </w:divBdr>
                          <w:divsChild>
                            <w:div w:id="561912288">
                              <w:marLeft w:val="240"/>
                              <w:marRight w:val="0"/>
                              <w:marTop w:val="0"/>
                              <w:marBottom w:val="0"/>
                              <w:divBdr>
                                <w:top w:val="none" w:sz="0" w:space="0" w:color="auto"/>
                                <w:left w:val="none" w:sz="0" w:space="0" w:color="auto"/>
                                <w:bottom w:val="none" w:sz="0" w:space="0" w:color="auto"/>
                                <w:right w:val="none" w:sz="0" w:space="0" w:color="auto"/>
                              </w:divBdr>
                            </w:div>
                          </w:divsChild>
                        </w:div>
                        <w:div w:id="1161578422">
                          <w:marLeft w:val="240"/>
                          <w:marRight w:val="240"/>
                          <w:marTop w:val="0"/>
                          <w:marBottom w:val="0"/>
                          <w:divBdr>
                            <w:top w:val="none" w:sz="0" w:space="0" w:color="auto"/>
                            <w:left w:val="none" w:sz="0" w:space="0" w:color="auto"/>
                            <w:bottom w:val="none" w:sz="0" w:space="0" w:color="auto"/>
                            <w:right w:val="none" w:sz="0" w:space="0" w:color="auto"/>
                          </w:divBdr>
                          <w:divsChild>
                            <w:div w:id="1025062968">
                              <w:marLeft w:val="240"/>
                              <w:marRight w:val="0"/>
                              <w:marTop w:val="0"/>
                              <w:marBottom w:val="0"/>
                              <w:divBdr>
                                <w:top w:val="none" w:sz="0" w:space="0" w:color="auto"/>
                                <w:left w:val="none" w:sz="0" w:space="0" w:color="auto"/>
                                <w:bottom w:val="none" w:sz="0" w:space="0" w:color="auto"/>
                                <w:right w:val="none" w:sz="0" w:space="0" w:color="auto"/>
                              </w:divBdr>
                            </w:div>
                          </w:divsChild>
                        </w:div>
                        <w:div w:id="1191145788">
                          <w:marLeft w:val="240"/>
                          <w:marRight w:val="240"/>
                          <w:marTop w:val="0"/>
                          <w:marBottom w:val="0"/>
                          <w:divBdr>
                            <w:top w:val="none" w:sz="0" w:space="0" w:color="auto"/>
                            <w:left w:val="none" w:sz="0" w:space="0" w:color="auto"/>
                            <w:bottom w:val="none" w:sz="0" w:space="0" w:color="auto"/>
                            <w:right w:val="none" w:sz="0" w:space="0" w:color="auto"/>
                          </w:divBdr>
                          <w:divsChild>
                            <w:div w:id="948899563">
                              <w:marLeft w:val="240"/>
                              <w:marRight w:val="0"/>
                              <w:marTop w:val="0"/>
                              <w:marBottom w:val="0"/>
                              <w:divBdr>
                                <w:top w:val="none" w:sz="0" w:space="0" w:color="auto"/>
                                <w:left w:val="none" w:sz="0" w:space="0" w:color="auto"/>
                                <w:bottom w:val="none" w:sz="0" w:space="0" w:color="auto"/>
                                <w:right w:val="none" w:sz="0" w:space="0" w:color="auto"/>
                              </w:divBdr>
                            </w:div>
                          </w:divsChild>
                        </w:div>
                        <w:div w:id="1224291121">
                          <w:marLeft w:val="240"/>
                          <w:marRight w:val="240"/>
                          <w:marTop w:val="0"/>
                          <w:marBottom w:val="0"/>
                          <w:divBdr>
                            <w:top w:val="none" w:sz="0" w:space="0" w:color="auto"/>
                            <w:left w:val="none" w:sz="0" w:space="0" w:color="auto"/>
                            <w:bottom w:val="none" w:sz="0" w:space="0" w:color="auto"/>
                            <w:right w:val="none" w:sz="0" w:space="0" w:color="auto"/>
                          </w:divBdr>
                          <w:divsChild>
                            <w:div w:id="851408382">
                              <w:marLeft w:val="240"/>
                              <w:marRight w:val="0"/>
                              <w:marTop w:val="0"/>
                              <w:marBottom w:val="0"/>
                              <w:divBdr>
                                <w:top w:val="none" w:sz="0" w:space="0" w:color="auto"/>
                                <w:left w:val="none" w:sz="0" w:space="0" w:color="auto"/>
                                <w:bottom w:val="none" w:sz="0" w:space="0" w:color="auto"/>
                                <w:right w:val="none" w:sz="0" w:space="0" w:color="auto"/>
                              </w:divBdr>
                            </w:div>
                          </w:divsChild>
                        </w:div>
                        <w:div w:id="1605459351">
                          <w:marLeft w:val="240"/>
                          <w:marRight w:val="240"/>
                          <w:marTop w:val="0"/>
                          <w:marBottom w:val="0"/>
                          <w:divBdr>
                            <w:top w:val="none" w:sz="0" w:space="0" w:color="auto"/>
                            <w:left w:val="none" w:sz="0" w:space="0" w:color="auto"/>
                            <w:bottom w:val="none" w:sz="0" w:space="0" w:color="auto"/>
                            <w:right w:val="none" w:sz="0" w:space="0" w:color="auto"/>
                          </w:divBdr>
                          <w:divsChild>
                            <w:div w:id="1485664530">
                              <w:marLeft w:val="240"/>
                              <w:marRight w:val="0"/>
                              <w:marTop w:val="0"/>
                              <w:marBottom w:val="0"/>
                              <w:divBdr>
                                <w:top w:val="none" w:sz="0" w:space="0" w:color="auto"/>
                                <w:left w:val="none" w:sz="0" w:space="0" w:color="auto"/>
                                <w:bottom w:val="none" w:sz="0" w:space="0" w:color="auto"/>
                                <w:right w:val="none" w:sz="0" w:space="0" w:color="auto"/>
                              </w:divBdr>
                            </w:div>
                          </w:divsChild>
                        </w:div>
                        <w:div w:id="1800604981">
                          <w:marLeft w:val="240"/>
                          <w:marRight w:val="240"/>
                          <w:marTop w:val="0"/>
                          <w:marBottom w:val="0"/>
                          <w:divBdr>
                            <w:top w:val="none" w:sz="0" w:space="0" w:color="auto"/>
                            <w:left w:val="none" w:sz="0" w:space="0" w:color="auto"/>
                            <w:bottom w:val="none" w:sz="0" w:space="0" w:color="auto"/>
                            <w:right w:val="none" w:sz="0" w:space="0" w:color="auto"/>
                          </w:divBdr>
                          <w:divsChild>
                            <w:div w:id="1021472128">
                              <w:marLeft w:val="240"/>
                              <w:marRight w:val="0"/>
                              <w:marTop w:val="0"/>
                              <w:marBottom w:val="0"/>
                              <w:divBdr>
                                <w:top w:val="none" w:sz="0" w:space="0" w:color="auto"/>
                                <w:left w:val="none" w:sz="0" w:space="0" w:color="auto"/>
                                <w:bottom w:val="none" w:sz="0" w:space="0" w:color="auto"/>
                                <w:right w:val="none" w:sz="0" w:space="0" w:color="auto"/>
                              </w:divBdr>
                            </w:div>
                          </w:divsChild>
                        </w:div>
                        <w:div w:id="1999846833">
                          <w:marLeft w:val="240"/>
                          <w:marRight w:val="240"/>
                          <w:marTop w:val="0"/>
                          <w:marBottom w:val="0"/>
                          <w:divBdr>
                            <w:top w:val="none" w:sz="0" w:space="0" w:color="auto"/>
                            <w:left w:val="none" w:sz="0" w:space="0" w:color="auto"/>
                            <w:bottom w:val="none" w:sz="0" w:space="0" w:color="auto"/>
                            <w:right w:val="none" w:sz="0" w:space="0" w:color="auto"/>
                          </w:divBdr>
                          <w:divsChild>
                            <w:div w:id="1878620719">
                              <w:marLeft w:val="240"/>
                              <w:marRight w:val="0"/>
                              <w:marTop w:val="0"/>
                              <w:marBottom w:val="0"/>
                              <w:divBdr>
                                <w:top w:val="none" w:sz="0" w:space="0" w:color="auto"/>
                                <w:left w:val="none" w:sz="0" w:space="0" w:color="auto"/>
                                <w:bottom w:val="none" w:sz="0" w:space="0" w:color="auto"/>
                                <w:right w:val="none" w:sz="0" w:space="0" w:color="auto"/>
                              </w:divBdr>
                            </w:div>
                          </w:divsChild>
                        </w:div>
                        <w:div w:id="2068645856">
                          <w:marLeft w:val="240"/>
                          <w:marRight w:val="240"/>
                          <w:marTop w:val="0"/>
                          <w:marBottom w:val="0"/>
                          <w:divBdr>
                            <w:top w:val="none" w:sz="0" w:space="0" w:color="auto"/>
                            <w:left w:val="none" w:sz="0" w:space="0" w:color="auto"/>
                            <w:bottom w:val="none" w:sz="0" w:space="0" w:color="auto"/>
                            <w:right w:val="none" w:sz="0" w:space="0" w:color="auto"/>
                          </w:divBdr>
                          <w:divsChild>
                            <w:div w:id="8912312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16489">
                  <w:marLeft w:val="240"/>
                  <w:marRight w:val="240"/>
                  <w:marTop w:val="0"/>
                  <w:marBottom w:val="0"/>
                  <w:divBdr>
                    <w:top w:val="none" w:sz="0" w:space="0" w:color="auto"/>
                    <w:left w:val="none" w:sz="0" w:space="0" w:color="auto"/>
                    <w:bottom w:val="none" w:sz="0" w:space="0" w:color="auto"/>
                    <w:right w:val="none" w:sz="0" w:space="0" w:color="auto"/>
                  </w:divBdr>
                  <w:divsChild>
                    <w:div w:id="442648179">
                      <w:marLeft w:val="240"/>
                      <w:marRight w:val="0"/>
                      <w:marTop w:val="0"/>
                      <w:marBottom w:val="0"/>
                      <w:divBdr>
                        <w:top w:val="none" w:sz="0" w:space="0" w:color="auto"/>
                        <w:left w:val="none" w:sz="0" w:space="0" w:color="auto"/>
                        <w:bottom w:val="none" w:sz="0" w:space="0" w:color="auto"/>
                        <w:right w:val="none" w:sz="0" w:space="0" w:color="auto"/>
                      </w:divBdr>
                    </w:div>
                  </w:divsChild>
                </w:div>
                <w:div w:id="1690795637">
                  <w:marLeft w:val="240"/>
                  <w:marRight w:val="240"/>
                  <w:marTop w:val="0"/>
                  <w:marBottom w:val="0"/>
                  <w:divBdr>
                    <w:top w:val="none" w:sz="0" w:space="0" w:color="auto"/>
                    <w:left w:val="none" w:sz="0" w:space="0" w:color="auto"/>
                    <w:bottom w:val="none" w:sz="0" w:space="0" w:color="auto"/>
                    <w:right w:val="none" w:sz="0" w:space="0" w:color="auto"/>
                  </w:divBdr>
                  <w:divsChild>
                    <w:div w:id="207228097">
                      <w:marLeft w:val="240"/>
                      <w:marRight w:val="0"/>
                      <w:marTop w:val="0"/>
                      <w:marBottom w:val="0"/>
                      <w:divBdr>
                        <w:top w:val="none" w:sz="0" w:space="0" w:color="auto"/>
                        <w:left w:val="none" w:sz="0" w:space="0" w:color="auto"/>
                        <w:bottom w:val="none" w:sz="0" w:space="0" w:color="auto"/>
                        <w:right w:val="none" w:sz="0" w:space="0" w:color="auto"/>
                      </w:divBdr>
                    </w:div>
                  </w:divsChild>
                </w:div>
                <w:div w:id="1995141433">
                  <w:marLeft w:val="240"/>
                  <w:marRight w:val="240"/>
                  <w:marTop w:val="0"/>
                  <w:marBottom w:val="0"/>
                  <w:divBdr>
                    <w:top w:val="none" w:sz="0" w:space="0" w:color="auto"/>
                    <w:left w:val="none" w:sz="0" w:space="0" w:color="auto"/>
                    <w:bottom w:val="none" w:sz="0" w:space="0" w:color="auto"/>
                    <w:right w:val="none" w:sz="0" w:space="0" w:color="auto"/>
                  </w:divBdr>
                  <w:divsChild>
                    <w:div w:id="568153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140193">
          <w:marLeft w:val="240"/>
          <w:marRight w:val="240"/>
          <w:marTop w:val="0"/>
          <w:marBottom w:val="0"/>
          <w:divBdr>
            <w:top w:val="none" w:sz="0" w:space="0" w:color="auto"/>
            <w:left w:val="none" w:sz="0" w:space="0" w:color="auto"/>
            <w:bottom w:val="none" w:sz="0" w:space="0" w:color="auto"/>
            <w:right w:val="none" w:sz="0" w:space="0" w:color="auto"/>
          </w:divBdr>
        </w:div>
      </w:divsChild>
    </w:div>
    <w:div w:id="1709449675">
      <w:bodyDiv w:val="1"/>
      <w:marLeft w:val="0"/>
      <w:marRight w:val="0"/>
      <w:marTop w:val="0"/>
      <w:marBottom w:val="0"/>
      <w:divBdr>
        <w:top w:val="none" w:sz="0" w:space="0" w:color="auto"/>
        <w:left w:val="none" w:sz="0" w:space="0" w:color="auto"/>
        <w:bottom w:val="none" w:sz="0" w:space="0" w:color="auto"/>
        <w:right w:val="none" w:sz="0" w:space="0" w:color="auto"/>
      </w:divBdr>
    </w:div>
    <w:div w:id="1720931641">
      <w:bodyDiv w:val="1"/>
      <w:marLeft w:val="0"/>
      <w:marRight w:val="0"/>
      <w:marTop w:val="0"/>
      <w:marBottom w:val="0"/>
      <w:divBdr>
        <w:top w:val="none" w:sz="0" w:space="0" w:color="auto"/>
        <w:left w:val="none" w:sz="0" w:space="0" w:color="auto"/>
        <w:bottom w:val="none" w:sz="0" w:space="0" w:color="auto"/>
        <w:right w:val="none" w:sz="0" w:space="0" w:color="auto"/>
      </w:divBdr>
    </w:div>
    <w:div w:id="1722024035">
      <w:bodyDiv w:val="1"/>
      <w:marLeft w:val="0"/>
      <w:marRight w:val="0"/>
      <w:marTop w:val="0"/>
      <w:marBottom w:val="0"/>
      <w:divBdr>
        <w:top w:val="none" w:sz="0" w:space="0" w:color="auto"/>
        <w:left w:val="none" w:sz="0" w:space="0" w:color="auto"/>
        <w:bottom w:val="none" w:sz="0" w:space="0" w:color="auto"/>
        <w:right w:val="none" w:sz="0" w:space="0" w:color="auto"/>
      </w:divBdr>
    </w:div>
    <w:div w:id="1774939848">
      <w:bodyDiv w:val="1"/>
      <w:marLeft w:val="0"/>
      <w:marRight w:val="0"/>
      <w:marTop w:val="0"/>
      <w:marBottom w:val="0"/>
      <w:divBdr>
        <w:top w:val="none" w:sz="0" w:space="0" w:color="auto"/>
        <w:left w:val="none" w:sz="0" w:space="0" w:color="auto"/>
        <w:bottom w:val="none" w:sz="0" w:space="0" w:color="auto"/>
        <w:right w:val="none" w:sz="0" w:space="0" w:color="auto"/>
      </w:divBdr>
    </w:div>
    <w:div w:id="1857159593">
      <w:bodyDiv w:val="1"/>
      <w:marLeft w:val="0"/>
      <w:marRight w:val="0"/>
      <w:marTop w:val="0"/>
      <w:marBottom w:val="0"/>
      <w:divBdr>
        <w:top w:val="none" w:sz="0" w:space="0" w:color="auto"/>
        <w:left w:val="none" w:sz="0" w:space="0" w:color="auto"/>
        <w:bottom w:val="none" w:sz="0" w:space="0" w:color="auto"/>
        <w:right w:val="none" w:sz="0" w:space="0" w:color="auto"/>
      </w:divBdr>
    </w:div>
    <w:div w:id="1893039224">
      <w:bodyDiv w:val="1"/>
      <w:marLeft w:val="0"/>
      <w:marRight w:val="0"/>
      <w:marTop w:val="0"/>
      <w:marBottom w:val="0"/>
      <w:divBdr>
        <w:top w:val="none" w:sz="0" w:space="0" w:color="auto"/>
        <w:left w:val="none" w:sz="0" w:space="0" w:color="auto"/>
        <w:bottom w:val="none" w:sz="0" w:space="0" w:color="auto"/>
        <w:right w:val="none" w:sz="0" w:space="0" w:color="auto"/>
      </w:divBdr>
    </w:div>
    <w:div w:id="1899051224">
      <w:bodyDiv w:val="1"/>
      <w:marLeft w:val="0"/>
      <w:marRight w:val="0"/>
      <w:marTop w:val="0"/>
      <w:marBottom w:val="0"/>
      <w:divBdr>
        <w:top w:val="none" w:sz="0" w:space="0" w:color="auto"/>
        <w:left w:val="none" w:sz="0" w:space="0" w:color="auto"/>
        <w:bottom w:val="none" w:sz="0" w:space="0" w:color="auto"/>
        <w:right w:val="none" w:sz="0" w:space="0" w:color="auto"/>
      </w:divBdr>
    </w:div>
    <w:div w:id="1921520188">
      <w:bodyDiv w:val="1"/>
      <w:marLeft w:val="0"/>
      <w:marRight w:val="0"/>
      <w:marTop w:val="0"/>
      <w:marBottom w:val="0"/>
      <w:divBdr>
        <w:top w:val="none" w:sz="0" w:space="0" w:color="auto"/>
        <w:left w:val="none" w:sz="0" w:space="0" w:color="auto"/>
        <w:bottom w:val="none" w:sz="0" w:space="0" w:color="auto"/>
        <w:right w:val="none" w:sz="0" w:space="0" w:color="auto"/>
      </w:divBdr>
    </w:div>
    <w:div w:id="1942487887">
      <w:bodyDiv w:val="1"/>
      <w:marLeft w:val="0"/>
      <w:marRight w:val="0"/>
      <w:marTop w:val="0"/>
      <w:marBottom w:val="0"/>
      <w:divBdr>
        <w:top w:val="none" w:sz="0" w:space="0" w:color="auto"/>
        <w:left w:val="none" w:sz="0" w:space="0" w:color="auto"/>
        <w:bottom w:val="none" w:sz="0" w:space="0" w:color="auto"/>
        <w:right w:val="none" w:sz="0" w:space="0" w:color="auto"/>
      </w:divBdr>
    </w:div>
    <w:div w:id="1950576167">
      <w:bodyDiv w:val="1"/>
      <w:marLeft w:val="0"/>
      <w:marRight w:val="0"/>
      <w:marTop w:val="0"/>
      <w:marBottom w:val="0"/>
      <w:divBdr>
        <w:top w:val="none" w:sz="0" w:space="0" w:color="auto"/>
        <w:left w:val="none" w:sz="0" w:space="0" w:color="auto"/>
        <w:bottom w:val="none" w:sz="0" w:space="0" w:color="auto"/>
        <w:right w:val="none" w:sz="0" w:space="0" w:color="auto"/>
      </w:divBdr>
    </w:div>
    <w:div w:id="2012180046">
      <w:bodyDiv w:val="1"/>
      <w:marLeft w:val="0"/>
      <w:marRight w:val="0"/>
      <w:marTop w:val="0"/>
      <w:marBottom w:val="0"/>
      <w:divBdr>
        <w:top w:val="none" w:sz="0" w:space="0" w:color="auto"/>
        <w:left w:val="none" w:sz="0" w:space="0" w:color="auto"/>
        <w:bottom w:val="none" w:sz="0" w:space="0" w:color="auto"/>
        <w:right w:val="none" w:sz="0" w:space="0" w:color="auto"/>
      </w:divBdr>
    </w:div>
    <w:div w:id="2086762190">
      <w:bodyDiv w:val="1"/>
      <w:marLeft w:val="0"/>
      <w:marRight w:val="0"/>
      <w:marTop w:val="0"/>
      <w:marBottom w:val="0"/>
      <w:divBdr>
        <w:top w:val="none" w:sz="0" w:space="0" w:color="auto"/>
        <w:left w:val="none" w:sz="0" w:space="0" w:color="auto"/>
        <w:bottom w:val="none" w:sz="0" w:space="0" w:color="auto"/>
        <w:right w:val="none" w:sz="0" w:space="0" w:color="auto"/>
      </w:divBdr>
    </w:div>
    <w:div w:id="21334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BFD2F-8267-46F0-8574-EADA429D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1231</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Company Name</vt:lpstr>
    </vt:vector>
  </TitlesOfParts>
  <Company>Oxygen Consulting, LLC</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creator>ZZ#DECASD</dc:creator>
  <cp:lastModifiedBy>Daley, Faith</cp:lastModifiedBy>
  <cp:revision>3</cp:revision>
  <cp:lastPrinted>2014-07-30T19:18:00Z</cp:lastPrinted>
  <dcterms:created xsi:type="dcterms:W3CDTF">2020-02-20T16:46:00Z</dcterms:created>
  <dcterms:modified xsi:type="dcterms:W3CDTF">2020-02-20T16:50:00Z</dcterms:modified>
</cp:coreProperties>
</file>